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A7" w:rsidRDefault="00CE3FA7" w:rsidP="00CE3FA7">
      <w:pPr>
        <w:jc w:val="center"/>
        <w:rPr>
          <w:rFonts w:ascii="Times New Roman" w:hAnsi="Times New Roman" w:cs="Times New Roman"/>
          <w:b/>
          <w:color w:val="FF0000"/>
          <w:sz w:val="8"/>
          <w:lang w:val="es-MX"/>
        </w:rPr>
      </w:pPr>
      <w:bookmarkStart w:id="0" w:name="_GoBack"/>
      <w:bookmarkEnd w:id="0"/>
    </w:p>
    <w:p w:rsidR="002238D7" w:rsidRDefault="002238D7" w:rsidP="00CE3FA7">
      <w:pPr>
        <w:jc w:val="center"/>
        <w:rPr>
          <w:rFonts w:ascii="Times New Roman" w:hAnsi="Times New Roman" w:cs="Times New Roman"/>
          <w:b/>
          <w:color w:val="FF0000"/>
          <w:sz w:val="8"/>
          <w:lang w:val="es-MX"/>
        </w:rPr>
      </w:pPr>
    </w:p>
    <w:p w:rsidR="002238D7" w:rsidRDefault="002238D7" w:rsidP="00CE3FA7">
      <w:pPr>
        <w:jc w:val="center"/>
        <w:rPr>
          <w:rFonts w:ascii="Times New Roman" w:hAnsi="Times New Roman" w:cs="Times New Roman"/>
          <w:b/>
          <w:color w:val="FF0000"/>
          <w:sz w:val="8"/>
          <w:lang w:val="es-MX"/>
        </w:rPr>
      </w:pPr>
    </w:p>
    <w:p w:rsidR="002238D7" w:rsidRDefault="002238D7" w:rsidP="00CE3FA7">
      <w:pPr>
        <w:jc w:val="center"/>
        <w:rPr>
          <w:rFonts w:ascii="Times New Roman" w:hAnsi="Times New Roman" w:cs="Times New Roman"/>
          <w:b/>
          <w:color w:val="FF0000"/>
          <w:sz w:val="8"/>
          <w:lang w:val="es-MX"/>
        </w:rPr>
      </w:pPr>
    </w:p>
    <w:p w:rsidR="002238D7" w:rsidRDefault="002238D7" w:rsidP="002238D7">
      <w:pPr>
        <w:jc w:val="center"/>
        <w:rPr>
          <w:rFonts w:ascii="Times New Roman" w:hAnsi="Times New Roman" w:cs="Times New Roman"/>
          <w:color w:val="1F497D" w:themeColor="text2"/>
          <w:sz w:val="40"/>
        </w:rPr>
      </w:pPr>
    </w:p>
    <w:p w:rsidR="002238D7" w:rsidRDefault="002238D7" w:rsidP="002238D7">
      <w:pPr>
        <w:jc w:val="center"/>
        <w:rPr>
          <w:rFonts w:ascii="Times New Roman" w:hAnsi="Times New Roman" w:cs="Times New Roman"/>
          <w:color w:val="1F497D" w:themeColor="text2"/>
          <w:sz w:val="40"/>
        </w:rPr>
      </w:pPr>
    </w:p>
    <w:p w:rsidR="002238D7" w:rsidRDefault="002238D7" w:rsidP="002238D7">
      <w:pPr>
        <w:jc w:val="center"/>
        <w:rPr>
          <w:rFonts w:ascii="Times New Roman" w:hAnsi="Times New Roman" w:cs="Times New Roman"/>
          <w:color w:val="1F497D" w:themeColor="text2"/>
          <w:sz w:val="40"/>
        </w:rPr>
      </w:pPr>
    </w:p>
    <w:p w:rsidR="007B2090" w:rsidRDefault="007B2090" w:rsidP="002238D7">
      <w:pPr>
        <w:jc w:val="center"/>
        <w:rPr>
          <w:rFonts w:ascii="Times New Roman" w:hAnsi="Times New Roman" w:cs="Times New Roman"/>
          <w:color w:val="1F497D" w:themeColor="text2"/>
          <w:sz w:val="40"/>
        </w:rPr>
      </w:pPr>
    </w:p>
    <w:p w:rsidR="002238D7" w:rsidRDefault="002238D7" w:rsidP="002238D7">
      <w:pPr>
        <w:jc w:val="center"/>
        <w:rPr>
          <w:rFonts w:ascii="Times New Roman" w:hAnsi="Times New Roman" w:cs="Times New Roman"/>
          <w:color w:val="1F497D" w:themeColor="text2"/>
          <w:sz w:val="40"/>
        </w:rPr>
      </w:pPr>
    </w:p>
    <w:p w:rsidR="002238D7" w:rsidRDefault="002238D7" w:rsidP="002238D7">
      <w:pPr>
        <w:jc w:val="center"/>
        <w:rPr>
          <w:rFonts w:ascii="Times New Roman" w:hAnsi="Times New Roman" w:cs="Times New Roman"/>
          <w:color w:val="1F497D" w:themeColor="text2"/>
          <w:sz w:val="40"/>
        </w:rPr>
      </w:pPr>
    </w:p>
    <w:p w:rsidR="002238D7" w:rsidRDefault="002238D7" w:rsidP="002238D7">
      <w:pPr>
        <w:jc w:val="center"/>
        <w:rPr>
          <w:rFonts w:ascii="Times New Roman" w:hAnsi="Times New Roman" w:cs="Times New Roman"/>
          <w:color w:val="1F497D" w:themeColor="text2"/>
          <w:sz w:val="40"/>
        </w:rPr>
      </w:pPr>
    </w:p>
    <w:p w:rsidR="002238D7" w:rsidRDefault="002238D7" w:rsidP="002238D7">
      <w:pPr>
        <w:jc w:val="center"/>
        <w:rPr>
          <w:rFonts w:ascii="Times New Roman" w:hAnsi="Times New Roman" w:cs="Times New Roman"/>
          <w:color w:val="1F497D" w:themeColor="text2"/>
          <w:sz w:val="40"/>
        </w:rPr>
      </w:pPr>
    </w:p>
    <w:p w:rsidR="007B2090" w:rsidRDefault="007B2090" w:rsidP="002238D7">
      <w:pPr>
        <w:jc w:val="center"/>
        <w:rPr>
          <w:rFonts w:ascii="Times New Roman" w:hAnsi="Times New Roman" w:cs="Times New Roman"/>
          <w:color w:val="1F497D" w:themeColor="text2"/>
          <w:sz w:val="40"/>
        </w:rPr>
      </w:pPr>
    </w:p>
    <w:p w:rsidR="00082DC7" w:rsidRPr="00082DC7" w:rsidRDefault="002238D7" w:rsidP="002238D7">
      <w:pPr>
        <w:jc w:val="center"/>
        <w:rPr>
          <w:rFonts w:ascii="Times New Roman" w:hAnsi="Times New Roman" w:cs="Times New Roman"/>
          <w:b/>
          <w:sz w:val="44"/>
        </w:rPr>
      </w:pPr>
      <w:r w:rsidRPr="00082DC7">
        <w:rPr>
          <w:rFonts w:ascii="Times New Roman" w:hAnsi="Times New Roman" w:cs="Times New Roman"/>
          <w:b/>
          <w:sz w:val="44"/>
        </w:rPr>
        <w:t>Informe del Desemp</w:t>
      </w:r>
      <w:r w:rsidR="00082DC7" w:rsidRPr="00082DC7">
        <w:rPr>
          <w:rFonts w:ascii="Times New Roman" w:hAnsi="Times New Roman" w:cs="Times New Roman"/>
          <w:b/>
          <w:sz w:val="44"/>
        </w:rPr>
        <w:t xml:space="preserve">eño de la Política Fiscal </w:t>
      </w:r>
    </w:p>
    <w:p w:rsidR="002238D7" w:rsidRPr="004C77E0" w:rsidRDefault="002238D7" w:rsidP="002238D7">
      <w:pPr>
        <w:jc w:val="center"/>
        <w:rPr>
          <w:rFonts w:ascii="Times New Roman" w:hAnsi="Times New Roman" w:cs="Times New Roman"/>
          <w:sz w:val="32"/>
        </w:rPr>
      </w:pPr>
      <w:r w:rsidRPr="004C77E0">
        <w:rPr>
          <w:rFonts w:ascii="Times New Roman" w:hAnsi="Times New Roman" w:cs="Times New Roman"/>
          <w:sz w:val="40"/>
        </w:rPr>
        <w:t>Primer Semestre de 2016</w:t>
      </w:r>
      <w:r w:rsidRPr="004C77E0">
        <w:rPr>
          <w:rFonts w:ascii="Times New Roman" w:hAnsi="Times New Roman" w:cs="Times New Roman"/>
          <w:sz w:val="32"/>
        </w:rPr>
        <w:t xml:space="preserve"> </w:t>
      </w:r>
    </w:p>
    <w:p w:rsidR="002238D7" w:rsidRPr="004C77E0" w:rsidRDefault="002238D7" w:rsidP="002238D7"/>
    <w:p w:rsidR="002238D7" w:rsidRPr="004C77E0" w:rsidRDefault="002238D7" w:rsidP="002238D7"/>
    <w:p w:rsidR="002238D7" w:rsidRDefault="002238D7" w:rsidP="002238D7"/>
    <w:p w:rsidR="007B2090" w:rsidRDefault="007B2090" w:rsidP="002238D7"/>
    <w:p w:rsidR="007B2090" w:rsidRDefault="007B2090" w:rsidP="002238D7"/>
    <w:p w:rsidR="007B2090" w:rsidRDefault="007B2090" w:rsidP="002238D7"/>
    <w:p w:rsidR="007B2090" w:rsidRDefault="007B2090" w:rsidP="002238D7"/>
    <w:p w:rsidR="007B2090" w:rsidRDefault="007B2090" w:rsidP="002238D7"/>
    <w:p w:rsidR="007B2090" w:rsidRDefault="007B2090" w:rsidP="002238D7"/>
    <w:p w:rsidR="007B2090" w:rsidRDefault="007B2090" w:rsidP="002238D7"/>
    <w:p w:rsidR="007B2090" w:rsidRDefault="007B2090" w:rsidP="002238D7"/>
    <w:p w:rsidR="007B2090" w:rsidRDefault="007B2090" w:rsidP="002238D7"/>
    <w:p w:rsidR="007B2090" w:rsidRDefault="007B2090" w:rsidP="002238D7"/>
    <w:p w:rsidR="007B2090" w:rsidRDefault="007B2090" w:rsidP="002238D7"/>
    <w:p w:rsidR="007B2090" w:rsidRDefault="007B2090" w:rsidP="002238D7"/>
    <w:p w:rsidR="007B2090" w:rsidRPr="004C77E0" w:rsidRDefault="007B2090" w:rsidP="002238D7"/>
    <w:p w:rsidR="002238D7" w:rsidRPr="004C77E0" w:rsidRDefault="002238D7" w:rsidP="002238D7"/>
    <w:p w:rsidR="002238D7" w:rsidRPr="004C77E0" w:rsidRDefault="002238D7" w:rsidP="002238D7"/>
    <w:p w:rsidR="002238D7" w:rsidRPr="004C77E0" w:rsidRDefault="002238D7" w:rsidP="002238D7"/>
    <w:p w:rsidR="002238D7" w:rsidRPr="004C77E0" w:rsidRDefault="002238D7" w:rsidP="002238D7"/>
    <w:p w:rsidR="002238D7" w:rsidRPr="004C77E0" w:rsidRDefault="002238D7" w:rsidP="002238D7"/>
    <w:p w:rsidR="002238D7" w:rsidRPr="004C77E0" w:rsidRDefault="002238D7" w:rsidP="002238D7"/>
    <w:p w:rsidR="00746018" w:rsidRDefault="002238D7" w:rsidP="007B2090">
      <w:pPr>
        <w:jc w:val="center"/>
        <w:rPr>
          <w:rFonts w:ascii="Times New Roman" w:hAnsi="Times New Roman" w:cs="Times New Roman"/>
        </w:rPr>
      </w:pPr>
      <w:r w:rsidRPr="004C77E0">
        <w:rPr>
          <w:rFonts w:ascii="Times New Roman" w:hAnsi="Times New Roman" w:cs="Times New Roman"/>
        </w:rPr>
        <w:t>GUATEMALA, JULIO DE 2016</w:t>
      </w:r>
    </w:p>
    <w:p w:rsidR="00746018" w:rsidRPr="00746018" w:rsidRDefault="00746018" w:rsidP="00746018">
      <w:pPr>
        <w:pStyle w:val="TDC1"/>
        <w:pBdr>
          <w:top w:val="single" w:sz="4" w:space="1" w:color="auto"/>
          <w:bottom w:val="single" w:sz="4" w:space="1" w:color="auto"/>
        </w:pBdr>
        <w:shd w:val="clear" w:color="auto" w:fill="2F8C99"/>
        <w:jc w:val="center"/>
        <w:rPr>
          <w:rFonts w:ascii="Times New Roman" w:hAnsi="Times New Roman" w:cs="Times New Roman"/>
          <w:i w:val="0"/>
          <w:color w:val="FFFFFF" w:themeColor="background1"/>
          <w:sz w:val="32"/>
        </w:rPr>
      </w:pPr>
      <w:r w:rsidRPr="00746018">
        <w:rPr>
          <w:rFonts w:ascii="Times New Roman" w:hAnsi="Times New Roman" w:cs="Times New Roman"/>
          <w:i w:val="0"/>
          <w:color w:val="FFFFFF" w:themeColor="background1"/>
          <w:sz w:val="32"/>
        </w:rPr>
        <w:lastRenderedPageBreak/>
        <w:t>Contenido</w:t>
      </w:r>
    </w:p>
    <w:p w:rsidR="00746018" w:rsidRPr="00746018" w:rsidRDefault="00746018" w:rsidP="00746018"/>
    <w:p w:rsidR="00746018" w:rsidRPr="00746018" w:rsidRDefault="00746018" w:rsidP="00746018"/>
    <w:p w:rsidR="00746018" w:rsidRPr="00746018" w:rsidRDefault="00746018" w:rsidP="00746018">
      <w:pPr>
        <w:pStyle w:val="TDC1"/>
        <w:tabs>
          <w:tab w:val="left" w:pos="480"/>
          <w:tab w:val="right" w:leader="underscore" w:pos="8828"/>
        </w:tabs>
        <w:spacing w:before="0" w:line="276" w:lineRule="auto"/>
        <w:rPr>
          <w:rFonts w:ascii="Times New Roman" w:hAnsi="Times New Roman" w:cs="Times New Roman"/>
          <w:b w:val="0"/>
          <w:bCs w:val="0"/>
          <w:i w:val="0"/>
          <w:iCs w:val="0"/>
          <w:noProof/>
          <w:lang w:val="es-GT" w:eastAsia="es-GT"/>
        </w:rPr>
      </w:pPr>
      <w:r w:rsidRPr="00746018">
        <w:rPr>
          <w:rFonts w:ascii="Times New Roman" w:hAnsi="Times New Roman" w:cs="Times New Roman"/>
          <w:b w:val="0"/>
          <w:color w:val="1F497D" w:themeColor="text2"/>
        </w:rPr>
        <w:fldChar w:fldCharType="begin"/>
      </w:r>
      <w:r w:rsidRPr="00746018">
        <w:rPr>
          <w:rFonts w:ascii="Times New Roman" w:hAnsi="Times New Roman" w:cs="Times New Roman"/>
          <w:b w:val="0"/>
          <w:color w:val="1F497D" w:themeColor="text2"/>
        </w:rPr>
        <w:instrText xml:space="preserve"> TOC \o "1-3" \h \z \u </w:instrText>
      </w:r>
      <w:r w:rsidRPr="00746018">
        <w:rPr>
          <w:rFonts w:ascii="Times New Roman" w:hAnsi="Times New Roman" w:cs="Times New Roman"/>
          <w:b w:val="0"/>
          <w:color w:val="1F497D" w:themeColor="text2"/>
        </w:rPr>
        <w:fldChar w:fldCharType="separate"/>
      </w:r>
      <w:hyperlink w:anchor="_Toc457550818" w:history="1">
        <w:r w:rsidRPr="00746018">
          <w:rPr>
            <w:rStyle w:val="Hipervnculo"/>
            <w:rFonts w:ascii="Times New Roman" w:hAnsi="Times New Roman" w:cs="Times New Roman"/>
            <w:b w:val="0"/>
            <w:noProof/>
            <w:lang w:val="es-MX"/>
          </w:rPr>
          <w:t>I.</w:t>
        </w:r>
        <w:r w:rsidRPr="00746018">
          <w:rPr>
            <w:rFonts w:ascii="Times New Roman" w:hAnsi="Times New Roman" w:cs="Times New Roman"/>
            <w:b w:val="0"/>
            <w:bCs w:val="0"/>
            <w:i w:val="0"/>
            <w:iCs w:val="0"/>
            <w:noProof/>
            <w:lang w:val="es-GT" w:eastAsia="es-GT"/>
          </w:rPr>
          <w:tab/>
        </w:r>
        <w:r w:rsidRPr="00746018">
          <w:rPr>
            <w:rStyle w:val="Hipervnculo"/>
            <w:rFonts w:ascii="Times New Roman" w:hAnsi="Times New Roman" w:cs="Times New Roman"/>
            <w:b w:val="0"/>
            <w:noProof/>
            <w:lang w:val="es-MX"/>
          </w:rPr>
          <w:t>Contexto macroeconómico</w:t>
        </w:r>
        <w:r w:rsidRPr="00746018">
          <w:rPr>
            <w:rFonts w:ascii="Times New Roman" w:hAnsi="Times New Roman" w:cs="Times New Roman"/>
            <w:b w:val="0"/>
            <w:noProof/>
            <w:webHidden/>
          </w:rPr>
          <w:tab/>
        </w:r>
        <w:r w:rsidRPr="00746018">
          <w:rPr>
            <w:rFonts w:ascii="Times New Roman" w:hAnsi="Times New Roman" w:cs="Times New Roman"/>
            <w:b w:val="0"/>
            <w:noProof/>
            <w:webHidden/>
          </w:rPr>
          <w:fldChar w:fldCharType="begin"/>
        </w:r>
        <w:r w:rsidRPr="00746018">
          <w:rPr>
            <w:rFonts w:ascii="Times New Roman" w:hAnsi="Times New Roman" w:cs="Times New Roman"/>
            <w:b w:val="0"/>
            <w:noProof/>
            <w:webHidden/>
          </w:rPr>
          <w:instrText xml:space="preserve"> PAGEREF _Toc457550818 \h </w:instrText>
        </w:r>
        <w:r w:rsidRPr="00746018">
          <w:rPr>
            <w:rFonts w:ascii="Times New Roman" w:hAnsi="Times New Roman" w:cs="Times New Roman"/>
            <w:b w:val="0"/>
            <w:noProof/>
            <w:webHidden/>
          </w:rPr>
        </w:r>
        <w:r w:rsidRPr="00746018">
          <w:rPr>
            <w:rFonts w:ascii="Times New Roman" w:hAnsi="Times New Roman" w:cs="Times New Roman"/>
            <w:b w:val="0"/>
            <w:noProof/>
            <w:webHidden/>
          </w:rPr>
          <w:fldChar w:fldCharType="separate"/>
        </w:r>
        <w:r w:rsidRPr="00746018">
          <w:rPr>
            <w:rFonts w:ascii="Times New Roman" w:hAnsi="Times New Roman" w:cs="Times New Roman"/>
            <w:b w:val="0"/>
            <w:noProof/>
            <w:webHidden/>
          </w:rPr>
          <w:t>3</w:t>
        </w:r>
        <w:r w:rsidRPr="00746018">
          <w:rPr>
            <w:rFonts w:ascii="Times New Roman" w:hAnsi="Times New Roman" w:cs="Times New Roman"/>
            <w:b w:val="0"/>
            <w:noProof/>
            <w:webHidden/>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19" w:history="1">
        <w:r w:rsidR="00746018" w:rsidRPr="00746018">
          <w:rPr>
            <w:rStyle w:val="Hipervnculo"/>
            <w:rFonts w:ascii="Times New Roman" w:hAnsi="Times New Roman" w:cs="Times New Roman"/>
            <w:b w:val="0"/>
            <w:noProof/>
            <w:sz w:val="24"/>
            <w:szCs w:val="24"/>
          </w:rPr>
          <w:t>1.1  Entorno Macroeconómico Internacional</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_Toc457550819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3</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20" w:history="1">
        <w:r w:rsidR="00746018" w:rsidRPr="00746018">
          <w:rPr>
            <w:rStyle w:val="Hipervnculo"/>
            <w:rFonts w:ascii="Times New Roman" w:hAnsi="Times New Roman" w:cs="Times New Roman"/>
            <w:b w:val="0"/>
            <w:noProof/>
            <w:sz w:val="24"/>
            <w:szCs w:val="24"/>
          </w:rPr>
          <w:t>1.2  Perspectivas económicas</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_Toc457550820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3</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21" w:history="1">
        <w:r w:rsidR="00746018" w:rsidRPr="00746018">
          <w:rPr>
            <w:rStyle w:val="Hipervnculo"/>
            <w:rFonts w:ascii="Times New Roman" w:hAnsi="Times New Roman" w:cs="Times New Roman"/>
            <w:b w:val="0"/>
            <w:noProof/>
            <w:sz w:val="24"/>
            <w:szCs w:val="24"/>
          </w:rPr>
          <w:t>1.3  Entorno regional</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_Toc457550821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5</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22" w:history="1">
        <w:r w:rsidR="00746018" w:rsidRPr="00746018">
          <w:rPr>
            <w:rStyle w:val="Hipervnculo"/>
            <w:rFonts w:ascii="Times New Roman" w:hAnsi="Times New Roman" w:cs="Times New Roman"/>
            <w:b w:val="0"/>
            <w:noProof/>
            <w:sz w:val="24"/>
            <w:szCs w:val="24"/>
          </w:rPr>
          <w:t>1.4  Calificaciones para los países de la Región</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_Toc457550822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6</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23" w:history="1">
        <w:r w:rsidR="00746018" w:rsidRPr="00746018">
          <w:rPr>
            <w:rStyle w:val="Hipervnculo"/>
            <w:rFonts w:ascii="Times New Roman" w:hAnsi="Times New Roman" w:cs="Times New Roman"/>
            <w:b w:val="0"/>
            <w:noProof/>
            <w:sz w:val="24"/>
            <w:szCs w:val="24"/>
          </w:rPr>
          <w:t>1.5  Entorno macroeconómico Nacional</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_Toc457550823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7</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24" w:history="1">
        <w:r w:rsidR="00746018" w:rsidRPr="00746018">
          <w:rPr>
            <w:rStyle w:val="Hipervnculo"/>
            <w:rFonts w:ascii="Times New Roman" w:hAnsi="Times New Roman" w:cs="Times New Roman"/>
            <w:b w:val="0"/>
            <w:noProof/>
            <w:sz w:val="24"/>
            <w:szCs w:val="24"/>
          </w:rPr>
          <w:t>1.6  Expectativas de Inflación y Actividad Económica</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_Toc457550824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8</w:t>
        </w:r>
        <w:r w:rsidR="00746018" w:rsidRPr="00746018">
          <w:rPr>
            <w:rFonts w:ascii="Times New Roman" w:hAnsi="Times New Roman" w:cs="Times New Roman"/>
            <w:b w:val="0"/>
            <w:noProof/>
            <w:webHidden/>
            <w:sz w:val="24"/>
            <w:szCs w:val="24"/>
          </w:rPr>
          <w:fldChar w:fldCharType="end"/>
        </w:r>
      </w:hyperlink>
    </w:p>
    <w:p w:rsidR="00746018" w:rsidRDefault="004008BF" w:rsidP="00746018">
      <w:pPr>
        <w:pStyle w:val="TDC2"/>
        <w:tabs>
          <w:tab w:val="right" w:leader="underscore" w:pos="8828"/>
        </w:tabs>
        <w:spacing w:before="0" w:line="276" w:lineRule="auto"/>
        <w:rPr>
          <w:rStyle w:val="Hipervnculo"/>
          <w:rFonts w:ascii="Times New Roman" w:hAnsi="Times New Roman" w:cs="Times New Roman"/>
          <w:b w:val="0"/>
          <w:noProof/>
          <w:sz w:val="24"/>
          <w:szCs w:val="24"/>
        </w:rPr>
      </w:pPr>
      <w:hyperlink w:anchor="_Toc457550825" w:history="1">
        <w:r w:rsidR="00746018">
          <w:rPr>
            <w:rStyle w:val="Hipervnculo"/>
            <w:rFonts w:ascii="Times New Roman" w:hAnsi="Times New Roman" w:cs="Times New Roman"/>
            <w:b w:val="0"/>
            <w:noProof/>
            <w:sz w:val="24"/>
            <w:szCs w:val="24"/>
          </w:rPr>
          <w:t xml:space="preserve">1.7  </w:t>
        </w:r>
        <w:r w:rsidR="00746018" w:rsidRPr="00746018">
          <w:rPr>
            <w:rStyle w:val="Hipervnculo"/>
            <w:rFonts w:ascii="Times New Roman" w:hAnsi="Times New Roman" w:cs="Times New Roman"/>
            <w:b w:val="0"/>
            <w:noProof/>
            <w:sz w:val="24"/>
            <w:szCs w:val="24"/>
          </w:rPr>
          <w:t>Calificación de Riesgo País de Guatemala</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_Toc457550825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10</w:t>
        </w:r>
        <w:r w:rsidR="00746018" w:rsidRPr="00746018">
          <w:rPr>
            <w:rFonts w:ascii="Times New Roman" w:hAnsi="Times New Roman" w:cs="Times New Roman"/>
            <w:b w:val="0"/>
            <w:noProof/>
            <w:webHidden/>
            <w:sz w:val="24"/>
            <w:szCs w:val="24"/>
          </w:rPr>
          <w:fldChar w:fldCharType="end"/>
        </w:r>
      </w:hyperlink>
    </w:p>
    <w:p w:rsidR="00746018" w:rsidRPr="00746018" w:rsidRDefault="00746018" w:rsidP="00746018"/>
    <w:p w:rsidR="00746018" w:rsidRPr="00746018" w:rsidRDefault="004008BF" w:rsidP="00746018">
      <w:pPr>
        <w:pStyle w:val="TDC1"/>
        <w:tabs>
          <w:tab w:val="left" w:pos="480"/>
          <w:tab w:val="right" w:leader="underscore" w:pos="8828"/>
        </w:tabs>
        <w:spacing w:before="0" w:line="276" w:lineRule="auto"/>
        <w:rPr>
          <w:rFonts w:ascii="Times New Roman" w:hAnsi="Times New Roman" w:cs="Times New Roman"/>
          <w:b w:val="0"/>
          <w:bCs w:val="0"/>
          <w:i w:val="0"/>
          <w:iCs w:val="0"/>
          <w:noProof/>
          <w:lang w:val="es-GT" w:eastAsia="es-GT"/>
        </w:rPr>
      </w:pPr>
      <w:hyperlink w:anchor="_Toc457550826" w:history="1">
        <w:r w:rsidR="00746018" w:rsidRPr="00746018">
          <w:rPr>
            <w:rStyle w:val="Hipervnculo"/>
            <w:rFonts w:ascii="Times New Roman" w:hAnsi="Times New Roman" w:cs="Times New Roman"/>
            <w:b w:val="0"/>
            <w:noProof/>
            <w:lang w:val="es-MX"/>
          </w:rPr>
          <w:t>II.</w:t>
        </w:r>
        <w:r w:rsidR="00746018" w:rsidRPr="00746018">
          <w:rPr>
            <w:rFonts w:ascii="Times New Roman" w:hAnsi="Times New Roman" w:cs="Times New Roman"/>
            <w:b w:val="0"/>
            <w:bCs w:val="0"/>
            <w:i w:val="0"/>
            <w:iCs w:val="0"/>
            <w:noProof/>
            <w:lang w:val="es-GT" w:eastAsia="es-GT"/>
          </w:rPr>
          <w:tab/>
        </w:r>
        <w:r w:rsidR="00746018" w:rsidRPr="00746018">
          <w:rPr>
            <w:rStyle w:val="Hipervnculo"/>
            <w:rFonts w:ascii="Times New Roman" w:hAnsi="Times New Roman" w:cs="Times New Roman"/>
            <w:b w:val="0"/>
            <w:noProof/>
            <w:lang w:val="es-MX"/>
          </w:rPr>
          <w:t>Recaudación Tributaria</w:t>
        </w:r>
        <w:r w:rsidR="00746018" w:rsidRPr="00746018">
          <w:rPr>
            <w:rFonts w:ascii="Times New Roman" w:hAnsi="Times New Roman" w:cs="Times New Roman"/>
            <w:b w:val="0"/>
            <w:noProof/>
            <w:webHidden/>
          </w:rPr>
          <w:tab/>
        </w:r>
        <w:r w:rsidR="00746018" w:rsidRPr="00746018">
          <w:rPr>
            <w:rFonts w:ascii="Times New Roman" w:hAnsi="Times New Roman" w:cs="Times New Roman"/>
            <w:b w:val="0"/>
            <w:noProof/>
            <w:webHidden/>
          </w:rPr>
          <w:fldChar w:fldCharType="begin"/>
        </w:r>
        <w:r w:rsidR="00746018" w:rsidRPr="00746018">
          <w:rPr>
            <w:rFonts w:ascii="Times New Roman" w:hAnsi="Times New Roman" w:cs="Times New Roman"/>
            <w:b w:val="0"/>
            <w:noProof/>
            <w:webHidden/>
          </w:rPr>
          <w:instrText xml:space="preserve"> PAGEREF _Toc457550826 \h </w:instrText>
        </w:r>
        <w:r w:rsidR="00746018" w:rsidRPr="00746018">
          <w:rPr>
            <w:rFonts w:ascii="Times New Roman" w:hAnsi="Times New Roman" w:cs="Times New Roman"/>
            <w:b w:val="0"/>
            <w:noProof/>
            <w:webHidden/>
          </w:rPr>
        </w:r>
        <w:r w:rsidR="00746018" w:rsidRPr="00746018">
          <w:rPr>
            <w:rFonts w:ascii="Times New Roman" w:hAnsi="Times New Roman" w:cs="Times New Roman"/>
            <w:b w:val="0"/>
            <w:noProof/>
            <w:webHidden/>
          </w:rPr>
          <w:fldChar w:fldCharType="separate"/>
        </w:r>
        <w:r w:rsidR="00746018" w:rsidRPr="00746018">
          <w:rPr>
            <w:rFonts w:ascii="Times New Roman" w:hAnsi="Times New Roman" w:cs="Times New Roman"/>
            <w:b w:val="0"/>
            <w:noProof/>
            <w:webHidden/>
          </w:rPr>
          <w:t>12</w:t>
        </w:r>
        <w:r w:rsidR="00746018" w:rsidRPr="00746018">
          <w:rPr>
            <w:rFonts w:ascii="Times New Roman" w:hAnsi="Times New Roman" w:cs="Times New Roman"/>
            <w:b w:val="0"/>
            <w:noProof/>
            <w:webHidden/>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27" w:history="1">
        <w:r w:rsidR="00746018" w:rsidRPr="00746018">
          <w:rPr>
            <w:rStyle w:val="Hipervnculo"/>
            <w:rFonts w:ascii="Times New Roman" w:hAnsi="Times New Roman" w:cs="Times New Roman"/>
            <w:b w:val="0"/>
            <w:noProof/>
            <w:sz w:val="24"/>
            <w:szCs w:val="24"/>
          </w:rPr>
          <w:t>2.1  Presupuesto General de Ingresos 2016</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_Toc457550827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12</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28" w:history="1">
        <w:r w:rsidR="00746018" w:rsidRPr="00746018">
          <w:rPr>
            <w:rStyle w:val="Hipervnculo"/>
            <w:rFonts w:ascii="Times New Roman" w:hAnsi="Times New Roman" w:cs="Times New Roman"/>
            <w:b w:val="0"/>
            <w:noProof/>
            <w:sz w:val="24"/>
            <w:szCs w:val="24"/>
          </w:rPr>
          <w:t>2.2  Evolución de la recaudación</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_Toc457550828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12</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29" w:history="1">
        <w:r w:rsidR="00746018" w:rsidRPr="00746018">
          <w:rPr>
            <w:rStyle w:val="Hipervnculo"/>
            <w:rFonts w:ascii="Times New Roman" w:hAnsi="Times New Roman" w:cs="Times New Roman"/>
            <w:b w:val="0"/>
            <w:noProof/>
            <w:sz w:val="24"/>
            <w:szCs w:val="24"/>
          </w:rPr>
          <w:t>2.3  Recaudación por impuesto</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_Toc457550829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16</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3"/>
        <w:tabs>
          <w:tab w:val="right" w:leader="underscore" w:pos="8828"/>
        </w:tabs>
        <w:spacing w:line="276" w:lineRule="auto"/>
        <w:rPr>
          <w:rFonts w:ascii="Times New Roman" w:hAnsi="Times New Roman" w:cs="Times New Roman"/>
          <w:noProof/>
          <w:sz w:val="24"/>
          <w:szCs w:val="24"/>
          <w:lang w:val="es-GT" w:eastAsia="es-GT"/>
        </w:rPr>
      </w:pPr>
      <w:hyperlink w:anchor="_Toc457550830" w:history="1">
        <w:r w:rsidR="00746018" w:rsidRPr="00746018">
          <w:rPr>
            <w:rStyle w:val="Hipervnculo"/>
            <w:rFonts w:ascii="Times New Roman" w:eastAsiaTheme="minorHAnsi" w:hAnsi="Times New Roman" w:cs="Times New Roman"/>
            <w:noProof/>
            <w:sz w:val="24"/>
            <w:szCs w:val="24"/>
            <w:lang w:val="es-MX" w:eastAsia="en-US"/>
          </w:rPr>
          <w:t>2.3.1</w:t>
        </w:r>
        <w:r w:rsidR="00746018" w:rsidRPr="00746018">
          <w:rPr>
            <w:rStyle w:val="Hipervnculo"/>
            <w:rFonts w:ascii="Times New Roman" w:hAnsi="Times New Roman" w:cs="Times New Roman"/>
            <w:noProof/>
            <w:sz w:val="24"/>
            <w:szCs w:val="24"/>
            <w:lang w:val="es-MX"/>
          </w:rPr>
          <w:t xml:space="preserve">  Impuesto sobre la renta</w:t>
        </w:r>
        <w:r w:rsidR="00746018" w:rsidRPr="00746018">
          <w:rPr>
            <w:rFonts w:ascii="Times New Roman" w:hAnsi="Times New Roman" w:cs="Times New Roman"/>
            <w:noProof/>
            <w:webHidden/>
            <w:sz w:val="24"/>
            <w:szCs w:val="24"/>
          </w:rPr>
          <w:tab/>
        </w:r>
        <w:r w:rsidR="00746018" w:rsidRPr="00746018">
          <w:rPr>
            <w:rFonts w:ascii="Times New Roman" w:hAnsi="Times New Roman" w:cs="Times New Roman"/>
            <w:noProof/>
            <w:webHidden/>
            <w:sz w:val="24"/>
            <w:szCs w:val="24"/>
          </w:rPr>
          <w:fldChar w:fldCharType="begin"/>
        </w:r>
        <w:r w:rsidR="00746018" w:rsidRPr="00746018">
          <w:rPr>
            <w:rFonts w:ascii="Times New Roman" w:hAnsi="Times New Roman" w:cs="Times New Roman"/>
            <w:noProof/>
            <w:webHidden/>
            <w:sz w:val="24"/>
            <w:szCs w:val="24"/>
          </w:rPr>
          <w:instrText xml:space="preserve"> PAGEREF _Toc457550830 \h </w:instrText>
        </w:r>
        <w:r w:rsidR="00746018" w:rsidRPr="00746018">
          <w:rPr>
            <w:rFonts w:ascii="Times New Roman" w:hAnsi="Times New Roman" w:cs="Times New Roman"/>
            <w:noProof/>
            <w:webHidden/>
            <w:sz w:val="24"/>
            <w:szCs w:val="24"/>
          </w:rPr>
        </w:r>
        <w:r w:rsidR="00746018" w:rsidRPr="00746018">
          <w:rPr>
            <w:rFonts w:ascii="Times New Roman" w:hAnsi="Times New Roman" w:cs="Times New Roman"/>
            <w:noProof/>
            <w:webHidden/>
            <w:sz w:val="24"/>
            <w:szCs w:val="24"/>
          </w:rPr>
          <w:fldChar w:fldCharType="separate"/>
        </w:r>
        <w:r w:rsidR="00746018" w:rsidRPr="00746018">
          <w:rPr>
            <w:rFonts w:ascii="Times New Roman" w:hAnsi="Times New Roman" w:cs="Times New Roman"/>
            <w:noProof/>
            <w:webHidden/>
            <w:sz w:val="24"/>
            <w:szCs w:val="24"/>
          </w:rPr>
          <w:t>17</w:t>
        </w:r>
        <w:r w:rsidR="00746018" w:rsidRPr="00746018">
          <w:rPr>
            <w:rFonts w:ascii="Times New Roman" w:hAnsi="Times New Roman" w:cs="Times New Roman"/>
            <w:noProof/>
            <w:webHidden/>
            <w:sz w:val="24"/>
            <w:szCs w:val="24"/>
          </w:rPr>
          <w:fldChar w:fldCharType="end"/>
        </w:r>
      </w:hyperlink>
    </w:p>
    <w:p w:rsidR="00746018" w:rsidRPr="00746018" w:rsidRDefault="004008BF" w:rsidP="00746018">
      <w:pPr>
        <w:pStyle w:val="TDC3"/>
        <w:tabs>
          <w:tab w:val="right" w:leader="underscore" w:pos="8828"/>
        </w:tabs>
        <w:spacing w:line="276" w:lineRule="auto"/>
        <w:rPr>
          <w:rFonts w:ascii="Times New Roman" w:hAnsi="Times New Roman" w:cs="Times New Roman"/>
          <w:noProof/>
          <w:sz w:val="24"/>
          <w:szCs w:val="24"/>
          <w:lang w:val="es-GT" w:eastAsia="es-GT"/>
        </w:rPr>
      </w:pPr>
      <w:hyperlink w:anchor="_Toc457550831" w:history="1">
        <w:r w:rsidR="00746018" w:rsidRPr="00746018">
          <w:rPr>
            <w:rStyle w:val="Hipervnculo"/>
            <w:rFonts w:ascii="Times New Roman" w:eastAsiaTheme="minorHAnsi" w:hAnsi="Times New Roman" w:cs="Times New Roman"/>
            <w:noProof/>
            <w:sz w:val="24"/>
            <w:szCs w:val="24"/>
            <w:lang w:val="es-MX" w:eastAsia="en-US"/>
          </w:rPr>
          <w:t>2.3.2</w:t>
        </w:r>
        <w:r w:rsidR="00746018" w:rsidRPr="00746018">
          <w:rPr>
            <w:rStyle w:val="Hipervnculo"/>
            <w:rFonts w:ascii="Times New Roman" w:hAnsi="Times New Roman" w:cs="Times New Roman"/>
            <w:noProof/>
            <w:sz w:val="24"/>
            <w:szCs w:val="24"/>
            <w:lang w:val="es-MX"/>
          </w:rPr>
          <w:t xml:space="preserve">  Impuesto al valor agregado</w:t>
        </w:r>
        <w:r w:rsidR="00746018" w:rsidRPr="00746018">
          <w:rPr>
            <w:rFonts w:ascii="Times New Roman" w:hAnsi="Times New Roman" w:cs="Times New Roman"/>
            <w:noProof/>
            <w:webHidden/>
            <w:sz w:val="24"/>
            <w:szCs w:val="24"/>
          </w:rPr>
          <w:tab/>
        </w:r>
        <w:r w:rsidR="00746018" w:rsidRPr="00746018">
          <w:rPr>
            <w:rFonts w:ascii="Times New Roman" w:hAnsi="Times New Roman" w:cs="Times New Roman"/>
            <w:noProof/>
            <w:webHidden/>
            <w:sz w:val="24"/>
            <w:szCs w:val="24"/>
          </w:rPr>
          <w:fldChar w:fldCharType="begin"/>
        </w:r>
        <w:r w:rsidR="00746018" w:rsidRPr="00746018">
          <w:rPr>
            <w:rFonts w:ascii="Times New Roman" w:hAnsi="Times New Roman" w:cs="Times New Roman"/>
            <w:noProof/>
            <w:webHidden/>
            <w:sz w:val="24"/>
            <w:szCs w:val="24"/>
          </w:rPr>
          <w:instrText xml:space="preserve"> PAGEREF _Toc457550831 \h </w:instrText>
        </w:r>
        <w:r w:rsidR="00746018" w:rsidRPr="00746018">
          <w:rPr>
            <w:rFonts w:ascii="Times New Roman" w:hAnsi="Times New Roman" w:cs="Times New Roman"/>
            <w:noProof/>
            <w:webHidden/>
            <w:sz w:val="24"/>
            <w:szCs w:val="24"/>
          </w:rPr>
        </w:r>
        <w:r w:rsidR="00746018" w:rsidRPr="00746018">
          <w:rPr>
            <w:rFonts w:ascii="Times New Roman" w:hAnsi="Times New Roman" w:cs="Times New Roman"/>
            <w:noProof/>
            <w:webHidden/>
            <w:sz w:val="24"/>
            <w:szCs w:val="24"/>
          </w:rPr>
          <w:fldChar w:fldCharType="separate"/>
        </w:r>
        <w:r w:rsidR="00746018" w:rsidRPr="00746018">
          <w:rPr>
            <w:rFonts w:ascii="Times New Roman" w:hAnsi="Times New Roman" w:cs="Times New Roman"/>
            <w:noProof/>
            <w:webHidden/>
            <w:sz w:val="24"/>
            <w:szCs w:val="24"/>
          </w:rPr>
          <w:t>18</w:t>
        </w:r>
        <w:r w:rsidR="00746018" w:rsidRPr="00746018">
          <w:rPr>
            <w:rFonts w:ascii="Times New Roman" w:hAnsi="Times New Roman" w:cs="Times New Roman"/>
            <w:noProof/>
            <w:webHidden/>
            <w:sz w:val="24"/>
            <w:szCs w:val="24"/>
          </w:rPr>
          <w:fldChar w:fldCharType="end"/>
        </w:r>
      </w:hyperlink>
    </w:p>
    <w:p w:rsidR="00746018" w:rsidRDefault="004008BF" w:rsidP="00746018">
      <w:pPr>
        <w:pStyle w:val="TDC3"/>
        <w:tabs>
          <w:tab w:val="left" w:pos="1200"/>
          <w:tab w:val="right" w:leader="underscore" w:pos="8828"/>
        </w:tabs>
        <w:spacing w:line="276" w:lineRule="auto"/>
        <w:rPr>
          <w:rStyle w:val="Hipervnculo"/>
          <w:rFonts w:ascii="Times New Roman" w:hAnsi="Times New Roman" w:cs="Times New Roman"/>
          <w:noProof/>
          <w:sz w:val="24"/>
          <w:szCs w:val="24"/>
        </w:rPr>
      </w:pPr>
      <w:hyperlink w:anchor="_Toc457550832" w:history="1">
        <w:r w:rsidR="00746018" w:rsidRPr="00746018">
          <w:rPr>
            <w:rStyle w:val="Hipervnculo"/>
            <w:rFonts w:ascii="Times New Roman" w:hAnsi="Times New Roman" w:cs="Times New Roman"/>
            <w:noProof/>
            <w:sz w:val="24"/>
            <w:szCs w:val="24"/>
            <w:lang w:val="es-MX"/>
          </w:rPr>
          <w:t>2.3.3</w:t>
        </w:r>
        <w:r w:rsidR="00746018" w:rsidRPr="00746018">
          <w:rPr>
            <w:rFonts w:ascii="Times New Roman" w:hAnsi="Times New Roman" w:cs="Times New Roman"/>
            <w:noProof/>
            <w:sz w:val="24"/>
            <w:szCs w:val="24"/>
            <w:lang w:val="es-GT" w:eastAsia="es-GT"/>
          </w:rPr>
          <w:tab/>
        </w:r>
        <w:r w:rsidR="00746018" w:rsidRPr="00746018">
          <w:rPr>
            <w:rStyle w:val="Hipervnculo"/>
            <w:rFonts w:ascii="Times New Roman" w:hAnsi="Times New Roman" w:cs="Times New Roman"/>
            <w:noProof/>
            <w:sz w:val="24"/>
            <w:szCs w:val="24"/>
            <w:lang w:val="es-MX"/>
          </w:rPr>
          <w:t>Otros impuestos</w:t>
        </w:r>
        <w:r w:rsidR="00746018" w:rsidRPr="00746018">
          <w:rPr>
            <w:rFonts w:ascii="Times New Roman" w:hAnsi="Times New Roman" w:cs="Times New Roman"/>
            <w:noProof/>
            <w:webHidden/>
            <w:sz w:val="24"/>
            <w:szCs w:val="24"/>
          </w:rPr>
          <w:tab/>
        </w:r>
        <w:r w:rsidR="00746018" w:rsidRPr="00746018">
          <w:rPr>
            <w:rFonts w:ascii="Times New Roman" w:hAnsi="Times New Roman" w:cs="Times New Roman"/>
            <w:noProof/>
            <w:webHidden/>
            <w:sz w:val="24"/>
            <w:szCs w:val="24"/>
          </w:rPr>
          <w:fldChar w:fldCharType="begin"/>
        </w:r>
        <w:r w:rsidR="00746018" w:rsidRPr="00746018">
          <w:rPr>
            <w:rFonts w:ascii="Times New Roman" w:hAnsi="Times New Roman" w:cs="Times New Roman"/>
            <w:noProof/>
            <w:webHidden/>
            <w:sz w:val="24"/>
            <w:szCs w:val="24"/>
          </w:rPr>
          <w:instrText xml:space="preserve"> PAGEREF _Toc457550832 \h </w:instrText>
        </w:r>
        <w:r w:rsidR="00746018" w:rsidRPr="00746018">
          <w:rPr>
            <w:rFonts w:ascii="Times New Roman" w:hAnsi="Times New Roman" w:cs="Times New Roman"/>
            <w:noProof/>
            <w:webHidden/>
            <w:sz w:val="24"/>
            <w:szCs w:val="24"/>
          </w:rPr>
        </w:r>
        <w:r w:rsidR="00746018" w:rsidRPr="00746018">
          <w:rPr>
            <w:rFonts w:ascii="Times New Roman" w:hAnsi="Times New Roman" w:cs="Times New Roman"/>
            <w:noProof/>
            <w:webHidden/>
            <w:sz w:val="24"/>
            <w:szCs w:val="24"/>
          </w:rPr>
          <w:fldChar w:fldCharType="separate"/>
        </w:r>
        <w:r w:rsidR="00746018" w:rsidRPr="00746018">
          <w:rPr>
            <w:rFonts w:ascii="Times New Roman" w:hAnsi="Times New Roman" w:cs="Times New Roman"/>
            <w:noProof/>
            <w:webHidden/>
            <w:sz w:val="24"/>
            <w:szCs w:val="24"/>
          </w:rPr>
          <w:t>19</w:t>
        </w:r>
        <w:r w:rsidR="00746018" w:rsidRPr="00746018">
          <w:rPr>
            <w:rFonts w:ascii="Times New Roman" w:hAnsi="Times New Roman" w:cs="Times New Roman"/>
            <w:noProof/>
            <w:webHidden/>
            <w:sz w:val="24"/>
            <w:szCs w:val="24"/>
          </w:rPr>
          <w:fldChar w:fldCharType="end"/>
        </w:r>
      </w:hyperlink>
    </w:p>
    <w:p w:rsidR="00746018" w:rsidRPr="00746018" w:rsidRDefault="00746018" w:rsidP="00746018"/>
    <w:p w:rsidR="00746018" w:rsidRPr="00746018" w:rsidRDefault="004008BF" w:rsidP="00746018">
      <w:pPr>
        <w:pStyle w:val="TDC1"/>
        <w:tabs>
          <w:tab w:val="left" w:pos="720"/>
          <w:tab w:val="right" w:leader="underscore" w:pos="8828"/>
        </w:tabs>
        <w:spacing w:before="0" w:line="276" w:lineRule="auto"/>
        <w:rPr>
          <w:rFonts w:ascii="Times New Roman" w:hAnsi="Times New Roman" w:cs="Times New Roman"/>
          <w:b w:val="0"/>
          <w:bCs w:val="0"/>
          <w:i w:val="0"/>
          <w:iCs w:val="0"/>
          <w:noProof/>
          <w:lang w:val="es-GT" w:eastAsia="es-GT"/>
        </w:rPr>
      </w:pPr>
      <w:hyperlink w:anchor="_Toc457550833" w:history="1">
        <w:r w:rsidR="00746018" w:rsidRPr="00746018">
          <w:rPr>
            <w:rStyle w:val="Hipervnculo"/>
            <w:rFonts w:ascii="Times New Roman" w:hAnsi="Times New Roman" w:cs="Times New Roman"/>
            <w:b w:val="0"/>
            <w:noProof/>
            <w:lang w:val="es-MX"/>
          </w:rPr>
          <w:t>III.</w:t>
        </w:r>
        <w:r w:rsidR="00746018" w:rsidRPr="00746018">
          <w:rPr>
            <w:rFonts w:ascii="Times New Roman" w:hAnsi="Times New Roman" w:cs="Times New Roman"/>
            <w:b w:val="0"/>
            <w:bCs w:val="0"/>
            <w:i w:val="0"/>
            <w:iCs w:val="0"/>
            <w:noProof/>
            <w:lang w:val="es-GT" w:eastAsia="es-GT"/>
          </w:rPr>
          <w:tab/>
        </w:r>
        <w:r w:rsidR="00746018" w:rsidRPr="00746018">
          <w:rPr>
            <w:rStyle w:val="Hipervnculo"/>
            <w:rFonts w:ascii="Times New Roman" w:hAnsi="Times New Roman" w:cs="Times New Roman"/>
            <w:b w:val="0"/>
            <w:noProof/>
            <w:lang w:val="es-MX"/>
          </w:rPr>
          <w:t>Gasto Público</w:t>
        </w:r>
        <w:r w:rsidR="00746018" w:rsidRPr="00746018">
          <w:rPr>
            <w:rFonts w:ascii="Times New Roman" w:hAnsi="Times New Roman" w:cs="Times New Roman"/>
            <w:b w:val="0"/>
            <w:noProof/>
            <w:webHidden/>
          </w:rPr>
          <w:tab/>
        </w:r>
        <w:r w:rsidR="00746018" w:rsidRPr="00746018">
          <w:rPr>
            <w:rFonts w:ascii="Times New Roman" w:hAnsi="Times New Roman" w:cs="Times New Roman"/>
            <w:b w:val="0"/>
            <w:noProof/>
            <w:webHidden/>
          </w:rPr>
          <w:fldChar w:fldCharType="begin"/>
        </w:r>
        <w:r w:rsidR="00746018" w:rsidRPr="00746018">
          <w:rPr>
            <w:rFonts w:ascii="Times New Roman" w:hAnsi="Times New Roman" w:cs="Times New Roman"/>
            <w:b w:val="0"/>
            <w:noProof/>
            <w:webHidden/>
          </w:rPr>
          <w:instrText xml:space="preserve"> PAGEREF _Toc457550833 \h </w:instrText>
        </w:r>
        <w:r w:rsidR="00746018" w:rsidRPr="00746018">
          <w:rPr>
            <w:rFonts w:ascii="Times New Roman" w:hAnsi="Times New Roman" w:cs="Times New Roman"/>
            <w:b w:val="0"/>
            <w:noProof/>
            <w:webHidden/>
          </w:rPr>
        </w:r>
        <w:r w:rsidR="00746018" w:rsidRPr="00746018">
          <w:rPr>
            <w:rFonts w:ascii="Times New Roman" w:hAnsi="Times New Roman" w:cs="Times New Roman"/>
            <w:b w:val="0"/>
            <w:noProof/>
            <w:webHidden/>
          </w:rPr>
          <w:fldChar w:fldCharType="separate"/>
        </w:r>
        <w:r w:rsidR="00746018" w:rsidRPr="00746018">
          <w:rPr>
            <w:rFonts w:ascii="Times New Roman" w:hAnsi="Times New Roman" w:cs="Times New Roman"/>
            <w:b w:val="0"/>
            <w:noProof/>
            <w:webHidden/>
          </w:rPr>
          <w:t>19</w:t>
        </w:r>
        <w:r w:rsidR="00746018" w:rsidRPr="00746018">
          <w:rPr>
            <w:rFonts w:ascii="Times New Roman" w:hAnsi="Times New Roman" w:cs="Times New Roman"/>
            <w:b w:val="0"/>
            <w:noProof/>
            <w:webHidden/>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34" w:history="1">
        <w:r w:rsidR="00746018" w:rsidRPr="00746018">
          <w:rPr>
            <w:rStyle w:val="Hipervnculo"/>
            <w:rFonts w:ascii="Times New Roman" w:hAnsi="Times New Roman" w:cs="Times New Roman"/>
            <w:b w:val="0"/>
            <w:noProof/>
            <w:sz w:val="24"/>
            <w:szCs w:val="24"/>
            <w:lang w:val="es-MX"/>
          </w:rPr>
          <w:t>3.1  Prudencia en el manejo de la gestión financiera</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_Toc457550834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19</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35" w:history="1">
        <w:r w:rsidR="00746018" w:rsidRPr="00746018">
          <w:rPr>
            <w:rStyle w:val="Hipervnculo"/>
            <w:rFonts w:ascii="Times New Roman" w:hAnsi="Times New Roman" w:cs="Times New Roman"/>
            <w:b w:val="0"/>
            <w:noProof/>
            <w:sz w:val="24"/>
            <w:szCs w:val="24"/>
            <w:lang w:val="es-MX"/>
          </w:rPr>
          <w:t>3.2  Contracción en la ejecución de gasto</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_Toc457550835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21</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36" w:history="1">
        <w:r w:rsidR="00746018" w:rsidRPr="00746018">
          <w:rPr>
            <w:rStyle w:val="Hipervnculo"/>
            <w:rFonts w:ascii="Times New Roman" w:hAnsi="Times New Roman" w:cs="Times New Roman"/>
            <w:b w:val="0"/>
            <w:noProof/>
            <w:sz w:val="24"/>
            <w:szCs w:val="24"/>
            <w:lang w:val="es-MX"/>
          </w:rPr>
          <w:t>3.3  Contención de gasto prioriza el gasto sectorial de los Acuerdos de Paz</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_Toc457550836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23</w:t>
        </w:r>
        <w:r w:rsidR="00746018" w:rsidRPr="00746018">
          <w:rPr>
            <w:rFonts w:ascii="Times New Roman" w:hAnsi="Times New Roman" w:cs="Times New Roman"/>
            <w:b w:val="0"/>
            <w:noProof/>
            <w:webHidden/>
            <w:sz w:val="24"/>
            <w:szCs w:val="24"/>
          </w:rPr>
          <w:fldChar w:fldCharType="end"/>
        </w:r>
      </w:hyperlink>
    </w:p>
    <w:p w:rsidR="00746018" w:rsidRPr="00746018" w:rsidRDefault="004008BF" w:rsidP="00746018">
      <w:pPr>
        <w:pStyle w:val="TDC2"/>
        <w:tabs>
          <w:tab w:val="right" w:leader="underscore" w:pos="8828"/>
        </w:tabs>
        <w:spacing w:before="0" w:line="276" w:lineRule="auto"/>
        <w:rPr>
          <w:rFonts w:ascii="Times New Roman" w:hAnsi="Times New Roman" w:cs="Times New Roman"/>
          <w:b w:val="0"/>
          <w:bCs w:val="0"/>
          <w:noProof/>
          <w:sz w:val="24"/>
          <w:szCs w:val="24"/>
          <w:lang w:val="es-GT" w:eastAsia="es-GT"/>
        </w:rPr>
      </w:pPr>
      <w:hyperlink w:anchor="_Toc457550837" w:history="1">
        <w:r w:rsidR="00746018" w:rsidRPr="00746018">
          <w:rPr>
            <w:rStyle w:val="Hipervnculo"/>
            <w:rFonts w:ascii="Times New Roman" w:hAnsi="Times New Roman" w:cs="Times New Roman"/>
            <w:b w:val="0"/>
            <w:noProof/>
            <w:sz w:val="24"/>
            <w:szCs w:val="24"/>
            <w:lang w:val="es-MX"/>
          </w:rPr>
          <w:t>3.4   Se incorpora dentro de la ejecución presupuestaria el seguimiento al Plan de la Alianza para la Prosperidad Triángulo Norte (PAPTN)</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_Toc457550837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26</w:t>
        </w:r>
        <w:r w:rsidR="00746018" w:rsidRPr="00746018">
          <w:rPr>
            <w:rFonts w:ascii="Times New Roman" w:hAnsi="Times New Roman" w:cs="Times New Roman"/>
            <w:b w:val="0"/>
            <w:noProof/>
            <w:webHidden/>
            <w:sz w:val="24"/>
            <w:szCs w:val="24"/>
          </w:rPr>
          <w:fldChar w:fldCharType="end"/>
        </w:r>
      </w:hyperlink>
    </w:p>
    <w:p w:rsidR="00746018" w:rsidRDefault="00746018" w:rsidP="00746018">
      <w:pPr>
        <w:pStyle w:val="TDC3"/>
        <w:tabs>
          <w:tab w:val="right" w:leader="underscore" w:pos="8828"/>
        </w:tabs>
        <w:spacing w:line="276" w:lineRule="auto"/>
        <w:ind w:left="0"/>
        <w:rPr>
          <w:rStyle w:val="Hipervnculo"/>
          <w:rFonts w:ascii="Times New Roman" w:hAnsi="Times New Roman" w:cs="Times New Roman"/>
          <w:noProof/>
          <w:sz w:val="24"/>
          <w:szCs w:val="24"/>
        </w:rPr>
      </w:pPr>
      <w:r>
        <w:rPr>
          <w:rStyle w:val="Hipervnculo"/>
          <w:rFonts w:ascii="Times New Roman" w:hAnsi="Times New Roman" w:cs="Times New Roman"/>
          <w:noProof/>
          <w:sz w:val="24"/>
          <w:szCs w:val="24"/>
        </w:rPr>
        <w:t xml:space="preserve">    </w:t>
      </w:r>
      <w:hyperlink w:anchor="_Toc457550838" w:history="1">
        <w:r w:rsidRPr="00746018">
          <w:rPr>
            <w:rStyle w:val="Hipervnculo"/>
            <w:rFonts w:ascii="Times New Roman" w:hAnsi="Times New Roman" w:cs="Times New Roman"/>
            <w:noProof/>
            <w:sz w:val="24"/>
            <w:szCs w:val="24"/>
          </w:rPr>
          <w:t>3.5  Grado de ejecución presupuestaria por debajo del promedio</w:t>
        </w:r>
        <w:r w:rsidRPr="00746018">
          <w:rPr>
            <w:rFonts w:ascii="Times New Roman" w:hAnsi="Times New Roman" w:cs="Times New Roman"/>
            <w:noProof/>
            <w:webHidden/>
            <w:sz w:val="24"/>
            <w:szCs w:val="24"/>
          </w:rPr>
          <w:tab/>
        </w:r>
        <w:r w:rsidRPr="00746018">
          <w:rPr>
            <w:rFonts w:ascii="Times New Roman" w:hAnsi="Times New Roman" w:cs="Times New Roman"/>
            <w:noProof/>
            <w:webHidden/>
            <w:sz w:val="24"/>
            <w:szCs w:val="24"/>
          </w:rPr>
          <w:fldChar w:fldCharType="begin"/>
        </w:r>
        <w:r w:rsidRPr="00746018">
          <w:rPr>
            <w:rFonts w:ascii="Times New Roman" w:hAnsi="Times New Roman" w:cs="Times New Roman"/>
            <w:noProof/>
            <w:webHidden/>
            <w:sz w:val="24"/>
            <w:szCs w:val="24"/>
          </w:rPr>
          <w:instrText xml:space="preserve"> PAGEREF _Toc457550838 \h </w:instrText>
        </w:r>
        <w:r w:rsidRPr="00746018">
          <w:rPr>
            <w:rFonts w:ascii="Times New Roman" w:hAnsi="Times New Roman" w:cs="Times New Roman"/>
            <w:noProof/>
            <w:webHidden/>
            <w:sz w:val="24"/>
            <w:szCs w:val="24"/>
          </w:rPr>
        </w:r>
        <w:r w:rsidRPr="00746018">
          <w:rPr>
            <w:rFonts w:ascii="Times New Roman" w:hAnsi="Times New Roman" w:cs="Times New Roman"/>
            <w:noProof/>
            <w:webHidden/>
            <w:sz w:val="24"/>
            <w:szCs w:val="24"/>
          </w:rPr>
          <w:fldChar w:fldCharType="separate"/>
        </w:r>
        <w:r w:rsidRPr="00746018">
          <w:rPr>
            <w:rFonts w:ascii="Times New Roman" w:hAnsi="Times New Roman" w:cs="Times New Roman"/>
            <w:noProof/>
            <w:webHidden/>
            <w:sz w:val="24"/>
            <w:szCs w:val="24"/>
          </w:rPr>
          <w:t>27</w:t>
        </w:r>
        <w:r w:rsidRPr="00746018">
          <w:rPr>
            <w:rFonts w:ascii="Times New Roman" w:hAnsi="Times New Roman" w:cs="Times New Roman"/>
            <w:noProof/>
            <w:webHidden/>
            <w:sz w:val="24"/>
            <w:szCs w:val="24"/>
          </w:rPr>
          <w:fldChar w:fldCharType="end"/>
        </w:r>
      </w:hyperlink>
    </w:p>
    <w:p w:rsidR="00746018" w:rsidRPr="00746018" w:rsidRDefault="00746018" w:rsidP="00746018"/>
    <w:p w:rsidR="00746018" w:rsidRPr="00746018" w:rsidRDefault="004008BF" w:rsidP="00746018">
      <w:pPr>
        <w:pStyle w:val="TDC1"/>
        <w:tabs>
          <w:tab w:val="left" w:pos="720"/>
          <w:tab w:val="right" w:leader="underscore" w:pos="8828"/>
        </w:tabs>
        <w:spacing w:before="0" w:line="276" w:lineRule="auto"/>
        <w:rPr>
          <w:rFonts w:ascii="Times New Roman" w:hAnsi="Times New Roman" w:cs="Times New Roman"/>
          <w:b w:val="0"/>
          <w:bCs w:val="0"/>
          <w:i w:val="0"/>
          <w:iCs w:val="0"/>
          <w:noProof/>
          <w:lang w:val="es-GT" w:eastAsia="es-GT"/>
        </w:rPr>
      </w:pPr>
      <w:hyperlink w:anchor="_Toc457550839" w:history="1">
        <w:r w:rsidR="00746018" w:rsidRPr="00746018">
          <w:rPr>
            <w:rStyle w:val="Hipervnculo"/>
            <w:rFonts w:ascii="Times New Roman" w:hAnsi="Times New Roman" w:cs="Times New Roman"/>
            <w:b w:val="0"/>
            <w:noProof/>
            <w:lang w:val="es-MX"/>
          </w:rPr>
          <w:t>IV.</w:t>
        </w:r>
        <w:r w:rsidR="00746018" w:rsidRPr="00746018">
          <w:rPr>
            <w:rFonts w:ascii="Times New Roman" w:hAnsi="Times New Roman" w:cs="Times New Roman"/>
            <w:b w:val="0"/>
            <w:bCs w:val="0"/>
            <w:i w:val="0"/>
            <w:iCs w:val="0"/>
            <w:noProof/>
            <w:lang w:val="es-GT" w:eastAsia="es-GT"/>
          </w:rPr>
          <w:tab/>
        </w:r>
        <w:r w:rsidR="00746018" w:rsidRPr="00746018">
          <w:rPr>
            <w:rStyle w:val="Hipervnculo"/>
            <w:rFonts w:ascii="Times New Roman" w:hAnsi="Times New Roman" w:cs="Times New Roman"/>
            <w:b w:val="0"/>
            <w:noProof/>
            <w:lang w:val="es-MX"/>
          </w:rPr>
          <w:t>Financiamiento del gasto</w:t>
        </w:r>
        <w:r w:rsidR="00746018" w:rsidRPr="00746018">
          <w:rPr>
            <w:rFonts w:ascii="Times New Roman" w:hAnsi="Times New Roman" w:cs="Times New Roman"/>
            <w:b w:val="0"/>
            <w:noProof/>
            <w:webHidden/>
          </w:rPr>
          <w:tab/>
        </w:r>
        <w:r w:rsidR="00746018" w:rsidRPr="00746018">
          <w:rPr>
            <w:rFonts w:ascii="Times New Roman" w:hAnsi="Times New Roman" w:cs="Times New Roman"/>
            <w:b w:val="0"/>
            <w:noProof/>
            <w:webHidden/>
          </w:rPr>
          <w:fldChar w:fldCharType="begin"/>
        </w:r>
        <w:r w:rsidR="00746018" w:rsidRPr="00746018">
          <w:rPr>
            <w:rFonts w:ascii="Times New Roman" w:hAnsi="Times New Roman" w:cs="Times New Roman"/>
            <w:b w:val="0"/>
            <w:noProof/>
            <w:webHidden/>
          </w:rPr>
          <w:instrText xml:space="preserve"> PAGEREF _Toc457550839 \h </w:instrText>
        </w:r>
        <w:r w:rsidR="00746018" w:rsidRPr="00746018">
          <w:rPr>
            <w:rFonts w:ascii="Times New Roman" w:hAnsi="Times New Roman" w:cs="Times New Roman"/>
            <w:b w:val="0"/>
            <w:noProof/>
            <w:webHidden/>
          </w:rPr>
        </w:r>
        <w:r w:rsidR="00746018" w:rsidRPr="00746018">
          <w:rPr>
            <w:rFonts w:ascii="Times New Roman" w:hAnsi="Times New Roman" w:cs="Times New Roman"/>
            <w:b w:val="0"/>
            <w:noProof/>
            <w:webHidden/>
          </w:rPr>
          <w:fldChar w:fldCharType="separate"/>
        </w:r>
        <w:r w:rsidR="00746018" w:rsidRPr="00746018">
          <w:rPr>
            <w:rFonts w:ascii="Times New Roman" w:hAnsi="Times New Roman" w:cs="Times New Roman"/>
            <w:b w:val="0"/>
            <w:noProof/>
            <w:webHidden/>
          </w:rPr>
          <w:t>28</w:t>
        </w:r>
        <w:r w:rsidR="00746018" w:rsidRPr="00746018">
          <w:rPr>
            <w:rFonts w:ascii="Times New Roman" w:hAnsi="Times New Roman" w:cs="Times New Roman"/>
            <w:b w:val="0"/>
            <w:noProof/>
            <w:webHidden/>
          </w:rPr>
          <w:fldChar w:fldCharType="end"/>
        </w:r>
      </w:hyperlink>
    </w:p>
    <w:p w:rsidR="00746018" w:rsidRDefault="004008BF" w:rsidP="00746018">
      <w:pPr>
        <w:pStyle w:val="TDC2"/>
        <w:tabs>
          <w:tab w:val="right" w:leader="underscore" w:pos="8828"/>
        </w:tabs>
        <w:spacing w:before="0" w:line="276" w:lineRule="auto"/>
        <w:rPr>
          <w:rStyle w:val="Hipervnculo"/>
          <w:rFonts w:ascii="Times New Roman" w:hAnsi="Times New Roman" w:cs="Times New Roman"/>
          <w:b w:val="0"/>
          <w:noProof/>
          <w:sz w:val="24"/>
          <w:szCs w:val="24"/>
        </w:rPr>
      </w:pPr>
      <w:hyperlink w:anchor="_Toc457550840" w:history="1">
        <w:r w:rsidR="00746018" w:rsidRPr="00746018">
          <w:rPr>
            <w:rStyle w:val="Hipervnculo"/>
            <w:rFonts w:ascii="Times New Roman" w:hAnsi="Times New Roman" w:cs="Times New Roman"/>
            <w:b w:val="0"/>
            <w:noProof/>
            <w:sz w:val="24"/>
            <w:szCs w:val="24"/>
          </w:rPr>
          <w:t>5.1  Los Bonos del Tesoro se constituyen en la segunda fuente de financiamiento más importante después de la recaudación tributaria</w:t>
        </w:r>
        <w:r w:rsidR="00746018" w:rsidRPr="00746018">
          <w:rPr>
            <w:rFonts w:ascii="Times New Roman" w:hAnsi="Times New Roman" w:cs="Times New Roman"/>
            <w:b w:val="0"/>
            <w:noProof/>
            <w:webHidden/>
            <w:sz w:val="24"/>
            <w:szCs w:val="24"/>
          </w:rPr>
          <w:tab/>
        </w:r>
        <w:r w:rsidR="00746018" w:rsidRPr="00746018">
          <w:rPr>
            <w:rFonts w:ascii="Times New Roman" w:hAnsi="Times New Roman" w:cs="Times New Roman"/>
            <w:b w:val="0"/>
            <w:noProof/>
            <w:webHidden/>
            <w:sz w:val="24"/>
            <w:szCs w:val="24"/>
          </w:rPr>
          <w:fldChar w:fldCharType="begin"/>
        </w:r>
        <w:r w:rsidR="00746018" w:rsidRPr="00746018">
          <w:rPr>
            <w:rFonts w:ascii="Times New Roman" w:hAnsi="Times New Roman" w:cs="Times New Roman"/>
            <w:b w:val="0"/>
            <w:noProof/>
            <w:webHidden/>
            <w:sz w:val="24"/>
            <w:szCs w:val="24"/>
          </w:rPr>
          <w:instrText xml:space="preserve"> PAGEREF _Toc457550840 \h </w:instrText>
        </w:r>
        <w:r w:rsidR="00746018" w:rsidRPr="00746018">
          <w:rPr>
            <w:rFonts w:ascii="Times New Roman" w:hAnsi="Times New Roman" w:cs="Times New Roman"/>
            <w:b w:val="0"/>
            <w:noProof/>
            <w:webHidden/>
            <w:sz w:val="24"/>
            <w:szCs w:val="24"/>
          </w:rPr>
        </w:r>
        <w:r w:rsidR="00746018" w:rsidRPr="00746018">
          <w:rPr>
            <w:rFonts w:ascii="Times New Roman" w:hAnsi="Times New Roman" w:cs="Times New Roman"/>
            <w:b w:val="0"/>
            <w:noProof/>
            <w:webHidden/>
            <w:sz w:val="24"/>
            <w:szCs w:val="24"/>
          </w:rPr>
          <w:fldChar w:fldCharType="separate"/>
        </w:r>
        <w:r w:rsidR="00746018" w:rsidRPr="00746018">
          <w:rPr>
            <w:rFonts w:ascii="Times New Roman" w:hAnsi="Times New Roman" w:cs="Times New Roman"/>
            <w:b w:val="0"/>
            <w:noProof/>
            <w:webHidden/>
            <w:sz w:val="24"/>
            <w:szCs w:val="24"/>
          </w:rPr>
          <w:t>28</w:t>
        </w:r>
        <w:r w:rsidR="00746018" w:rsidRPr="00746018">
          <w:rPr>
            <w:rFonts w:ascii="Times New Roman" w:hAnsi="Times New Roman" w:cs="Times New Roman"/>
            <w:b w:val="0"/>
            <w:noProof/>
            <w:webHidden/>
            <w:sz w:val="24"/>
            <w:szCs w:val="24"/>
          </w:rPr>
          <w:fldChar w:fldCharType="end"/>
        </w:r>
      </w:hyperlink>
    </w:p>
    <w:p w:rsidR="00746018" w:rsidRPr="00746018" w:rsidRDefault="00746018" w:rsidP="00746018"/>
    <w:p w:rsidR="00746018" w:rsidRPr="00746018" w:rsidRDefault="004008BF" w:rsidP="00746018">
      <w:pPr>
        <w:pStyle w:val="TDC1"/>
        <w:tabs>
          <w:tab w:val="left" w:pos="480"/>
          <w:tab w:val="right" w:leader="underscore" w:pos="8828"/>
        </w:tabs>
        <w:spacing w:before="0" w:line="276" w:lineRule="auto"/>
        <w:rPr>
          <w:rFonts w:ascii="Times New Roman" w:hAnsi="Times New Roman" w:cs="Times New Roman"/>
          <w:b w:val="0"/>
          <w:bCs w:val="0"/>
          <w:i w:val="0"/>
          <w:iCs w:val="0"/>
          <w:noProof/>
          <w:lang w:val="es-GT" w:eastAsia="es-GT"/>
        </w:rPr>
      </w:pPr>
      <w:hyperlink w:anchor="_Toc457550841" w:history="1">
        <w:r w:rsidR="00746018" w:rsidRPr="00746018">
          <w:rPr>
            <w:rStyle w:val="Hipervnculo"/>
            <w:rFonts w:ascii="Times New Roman" w:hAnsi="Times New Roman" w:cs="Times New Roman"/>
            <w:b w:val="0"/>
            <w:noProof/>
            <w:lang w:val="es-MX"/>
          </w:rPr>
          <w:t>V.</w:t>
        </w:r>
        <w:r w:rsidR="00746018" w:rsidRPr="00746018">
          <w:rPr>
            <w:rFonts w:ascii="Times New Roman" w:hAnsi="Times New Roman" w:cs="Times New Roman"/>
            <w:b w:val="0"/>
            <w:bCs w:val="0"/>
            <w:i w:val="0"/>
            <w:iCs w:val="0"/>
            <w:noProof/>
            <w:lang w:val="es-GT" w:eastAsia="es-GT"/>
          </w:rPr>
          <w:tab/>
        </w:r>
        <w:r w:rsidR="00746018" w:rsidRPr="00746018">
          <w:rPr>
            <w:rStyle w:val="Hipervnculo"/>
            <w:rFonts w:ascii="Times New Roman" w:hAnsi="Times New Roman" w:cs="Times New Roman"/>
            <w:b w:val="0"/>
            <w:noProof/>
            <w:lang w:val="es-MX"/>
          </w:rPr>
          <w:t>Anexos</w:t>
        </w:r>
        <w:r w:rsidR="00746018" w:rsidRPr="00746018">
          <w:rPr>
            <w:rFonts w:ascii="Times New Roman" w:hAnsi="Times New Roman" w:cs="Times New Roman"/>
            <w:b w:val="0"/>
            <w:noProof/>
            <w:webHidden/>
          </w:rPr>
          <w:tab/>
        </w:r>
        <w:r w:rsidR="00746018" w:rsidRPr="00746018">
          <w:rPr>
            <w:rFonts w:ascii="Times New Roman" w:hAnsi="Times New Roman" w:cs="Times New Roman"/>
            <w:b w:val="0"/>
            <w:noProof/>
            <w:webHidden/>
          </w:rPr>
          <w:fldChar w:fldCharType="begin"/>
        </w:r>
        <w:r w:rsidR="00746018" w:rsidRPr="00746018">
          <w:rPr>
            <w:rFonts w:ascii="Times New Roman" w:hAnsi="Times New Roman" w:cs="Times New Roman"/>
            <w:b w:val="0"/>
            <w:noProof/>
            <w:webHidden/>
          </w:rPr>
          <w:instrText xml:space="preserve"> PAGEREF _Toc457550841 \h </w:instrText>
        </w:r>
        <w:r w:rsidR="00746018" w:rsidRPr="00746018">
          <w:rPr>
            <w:rFonts w:ascii="Times New Roman" w:hAnsi="Times New Roman" w:cs="Times New Roman"/>
            <w:b w:val="0"/>
            <w:noProof/>
            <w:webHidden/>
          </w:rPr>
        </w:r>
        <w:r w:rsidR="00746018" w:rsidRPr="00746018">
          <w:rPr>
            <w:rFonts w:ascii="Times New Roman" w:hAnsi="Times New Roman" w:cs="Times New Roman"/>
            <w:b w:val="0"/>
            <w:noProof/>
            <w:webHidden/>
          </w:rPr>
          <w:fldChar w:fldCharType="separate"/>
        </w:r>
        <w:r w:rsidR="00746018" w:rsidRPr="00746018">
          <w:rPr>
            <w:rFonts w:ascii="Times New Roman" w:hAnsi="Times New Roman" w:cs="Times New Roman"/>
            <w:b w:val="0"/>
            <w:noProof/>
            <w:webHidden/>
          </w:rPr>
          <w:t>31</w:t>
        </w:r>
        <w:r w:rsidR="00746018" w:rsidRPr="00746018">
          <w:rPr>
            <w:rFonts w:ascii="Times New Roman" w:hAnsi="Times New Roman" w:cs="Times New Roman"/>
            <w:b w:val="0"/>
            <w:noProof/>
            <w:webHidden/>
          </w:rPr>
          <w:fldChar w:fldCharType="end"/>
        </w:r>
      </w:hyperlink>
    </w:p>
    <w:p w:rsidR="002238D7" w:rsidRPr="007B2090" w:rsidRDefault="00746018" w:rsidP="00746018">
      <w:pPr>
        <w:spacing w:line="276" w:lineRule="auto"/>
        <w:jc w:val="center"/>
        <w:rPr>
          <w:rFonts w:ascii="Times New Roman" w:hAnsi="Times New Roman" w:cs="Times New Roman"/>
        </w:rPr>
      </w:pPr>
      <w:r w:rsidRPr="00746018">
        <w:rPr>
          <w:rFonts w:ascii="Times New Roman" w:hAnsi="Times New Roman" w:cs="Times New Roman"/>
          <w:color w:val="1F497D" w:themeColor="text2"/>
        </w:rPr>
        <w:fldChar w:fldCharType="end"/>
      </w:r>
      <w:r w:rsidR="002238D7">
        <w:rPr>
          <w:rFonts w:ascii="Times New Roman" w:hAnsi="Times New Roman" w:cs="Times New Roman"/>
          <w:color w:val="1F497D" w:themeColor="text2"/>
        </w:rPr>
        <w:br w:type="page"/>
      </w:r>
    </w:p>
    <w:p w:rsidR="002238D7" w:rsidRPr="00082DC7" w:rsidRDefault="002238D7" w:rsidP="002238D7">
      <w:pPr>
        <w:jc w:val="right"/>
        <w:rPr>
          <w:rFonts w:ascii="Times New Roman" w:hAnsi="Times New Roman" w:cs="Times New Roman"/>
          <w:color w:val="1F497D" w:themeColor="text2"/>
          <w:sz w:val="10"/>
        </w:rPr>
      </w:pPr>
    </w:p>
    <w:p w:rsidR="002238D7" w:rsidRPr="00D41E8E" w:rsidRDefault="002238D7" w:rsidP="006A2E1A">
      <w:pPr>
        <w:pStyle w:val="Prrafodelista"/>
        <w:numPr>
          <w:ilvl w:val="0"/>
          <w:numId w:val="25"/>
        </w:numPr>
        <w:pBdr>
          <w:top w:val="single" w:sz="4" w:space="1" w:color="auto"/>
          <w:bottom w:val="single" w:sz="4" w:space="1" w:color="auto"/>
        </w:pBdr>
        <w:shd w:val="clear" w:color="auto" w:fill="2F8C99"/>
        <w:ind w:left="709" w:hanging="709"/>
        <w:jc w:val="both"/>
        <w:outlineLvl w:val="0"/>
        <w:rPr>
          <w:rFonts w:ascii="Times New Roman" w:hAnsi="Times New Roman" w:cs="Times New Roman"/>
          <w:b/>
          <w:color w:val="FFFFFF" w:themeColor="background1"/>
          <w:sz w:val="32"/>
          <w:lang w:val="es-MX"/>
        </w:rPr>
      </w:pPr>
      <w:bookmarkStart w:id="1" w:name="_Toc410402057"/>
      <w:bookmarkStart w:id="2" w:name="_Toc457550818"/>
      <w:r w:rsidRPr="00D41E8E">
        <w:rPr>
          <w:rFonts w:ascii="Times New Roman" w:hAnsi="Times New Roman" w:cs="Times New Roman"/>
          <w:b/>
          <w:color w:val="FFFFFF" w:themeColor="background1"/>
          <w:sz w:val="32"/>
          <w:lang w:val="es-MX"/>
        </w:rPr>
        <w:t>Contexto macroeconómico</w:t>
      </w:r>
      <w:bookmarkEnd w:id="1"/>
      <w:bookmarkEnd w:id="2"/>
      <w:r w:rsidRPr="00D41E8E">
        <w:rPr>
          <w:rFonts w:ascii="Times New Roman" w:hAnsi="Times New Roman" w:cs="Times New Roman"/>
          <w:b/>
          <w:color w:val="FFFFFF" w:themeColor="background1"/>
          <w:sz w:val="32"/>
          <w:lang w:val="es-MX"/>
        </w:rPr>
        <w:t xml:space="preserve"> </w:t>
      </w:r>
    </w:p>
    <w:p w:rsidR="002238D7" w:rsidRPr="004C77E0" w:rsidRDefault="00082DC7" w:rsidP="00D41E8E">
      <w:pPr>
        <w:pStyle w:val="Ttulo2"/>
        <w:rPr>
          <w:rFonts w:ascii="Times New Roman" w:hAnsi="Times New Roman" w:cs="Times New Roman"/>
          <w:color w:val="auto"/>
          <w:sz w:val="24"/>
        </w:rPr>
      </w:pPr>
      <w:bookmarkStart w:id="3" w:name="_Toc457550819"/>
      <w:r>
        <w:rPr>
          <w:rFonts w:ascii="Times New Roman" w:hAnsi="Times New Roman" w:cs="Times New Roman"/>
          <w:color w:val="auto"/>
          <w:sz w:val="24"/>
        </w:rPr>
        <w:t xml:space="preserve">1.1  </w:t>
      </w:r>
      <w:r w:rsidR="002238D7" w:rsidRPr="004C77E0">
        <w:rPr>
          <w:rFonts w:ascii="Times New Roman" w:hAnsi="Times New Roman" w:cs="Times New Roman"/>
          <w:color w:val="auto"/>
          <w:sz w:val="24"/>
        </w:rPr>
        <w:t>Entorno Macroeconómico Internacional</w:t>
      </w:r>
      <w:bookmarkEnd w:id="3"/>
      <w:r w:rsidR="002238D7" w:rsidRPr="004C77E0">
        <w:rPr>
          <w:rFonts w:ascii="Times New Roman" w:hAnsi="Times New Roman" w:cs="Times New Roman"/>
          <w:color w:val="auto"/>
          <w:sz w:val="24"/>
        </w:rPr>
        <w:t xml:space="preserve"> </w:t>
      </w:r>
    </w:p>
    <w:p w:rsidR="002238D7" w:rsidRDefault="002238D7" w:rsidP="002238D7">
      <w:pPr>
        <w:pStyle w:val="Default"/>
        <w:jc w:val="both"/>
        <w:rPr>
          <w:sz w:val="22"/>
          <w:szCs w:val="22"/>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 xml:space="preserve">La economía mundial </w:t>
      </w:r>
      <w:r w:rsidR="00AE6139">
        <w:rPr>
          <w:rFonts w:ascii="Times New Roman" w:hAnsi="Times New Roman" w:cs="Times New Roman"/>
          <w:lang w:val="es-MX"/>
        </w:rPr>
        <w:t xml:space="preserve">registró en el primer semestre 2016 un débil ritmo de crecimiento </w:t>
      </w:r>
      <w:r>
        <w:rPr>
          <w:rFonts w:ascii="Times New Roman" w:hAnsi="Times New Roman" w:cs="Times New Roman"/>
          <w:lang w:val="es-MX"/>
        </w:rPr>
        <w:t>en su actividad real</w:t>
      </w:r>
      <w:r w:rsidR="00AE6139">
        <w:rPr>
          <w:rFonts w:ascii="Times New Roman" w:hAnsi="Times New Roman" w:cs="Times New Roman"/>
          <w:lang w:val="es-MX"/>
        </w:rPr>
        <w:t>.  A</w:t>
      </w:r>
      <w:r>
        <w:rPr>
          <w:rFonts w:ascii="Times New Roman" w:hAnsi="Times New Roman" w:cs="Times New Roman"/>
          <w:lang w:val="es-MX"/>
        </w:rPr>
        <w:t xml:space="preserve">l inicio del año las proyecciones para las economías avanzadas señalaban un mayor crecimiento  en la zona del euro en contraste a un crecimiento más débil en </w:t>
      </w:r>
      <w:r w:rsidR="00AE6139">
        <w:rPr>
          <w:rFonts w:ascii="Times New Roman" w:hAnsi="Times New Roman" w:cs="Times New Roman"/>
          <w:lang w:val="es-MX"/>
        </w:rPr>
        <w:t>EEUU</w:t>
      </w:r>
      <w:r>
        <w:rPr>
          <w:rFonts w:ascii="Times New Roman" w:hAnsi="Times New Roman" w:cs="Times New Roman"/>
          <w:lang w:val="es-MX"/>
        </w:rPr>
        <w:t xml:space="preserve">.  La mayoría de economías avanzadas se han caracterizado por mostrar un crecimiento lento en la productividad y una inflación por debajo de la meta, atribuido en una gran proporción al efecto de los descensos de los precios de las materias primas y al volumen de capacidad ociosa.  </w:t>
      </w:r>
    </w:p>
    <w:p w:rsidR="002238D7" w:rsidRDefault="002238D7" w:rsidP="002238D7">
      <w:pPr>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 xml:space="preserve">Los indicadores de la actividad real fueron sutilmente más sólidos de lo esperado en China que adopto políticas </w:t>
      </w:r>
      <w:r w:rsidR="00AE6139">
        <w:rPr>
          <w:rFonts w:ascii="Times New Roman" w:hAnsi="Times New Roman" w:cs="Times New Roman"/>
          <w:lang w:val="es-MX"/>
        </w:rPr>
        <w:t xml:space="preserve">específicas </w:t>
      </w:r>
      <w:r>
        <w:rPr>
          <w:rFonts w:ascii="Times New Roman" w:hAnsi="Times New Roman" w:cs="Times New Roman"/>
          <w:lang w:val="es-MX"/>
        </w:rPr>
        <w:t>de estímulo</w:t>
      </w:r>
      <w:r w:rsidR="00AE6139">
        <w:rPr>
          <w:rFonts w:ascii="Times New Roman" w:hAnsi="Times New Roman" w:cs="Times New Roman"/>
          <w:lang w:val="es-MX"/>
        </w:rPr>
        <w:t xml:space="preserve"> para fomentar la inversión </w:t>
      </w:r>
      <w:r>
        <w:rPr>
          <w:rFonts w:ascii="Times New Roman" w:hAnsi="Times New Roman" w:cs="Times New Roman"/>
          <w:lang w:val="es-MX"/>
        </w:rPr>
        <w:t>en infraestructura</w:t>
      </w:r>
      <w:r w:rsidR="00AE6139">
        <w:rPr>
          <w:rFonts w:ascii="Times New Roman" w:hAnsi="Times New Roman" w:cs="Times New Roman"/>
          <w:lang w:val="es-MX"/>
        </w:rPr>
        <w:t>;</w:t>
      </w:r>
      <w:r>
        <w:rPr>
          <w:rFonts w:ascii="Times New Roman" w:hAnsi="Times New Roman" w:cs="Times New Roman"/>
          <w:lang w:val="es-MX"/>
        </w:rPr>
        <w:t xml:space="preserve"> sin embargo, la actividad industrial y el comercio </w:t>
      </w:r>
      <w:r w:rsidR="00AE6139">
        <w:rPr>
          <w:rFonts w:ascii="Times New Roman" w:hAnsi="Times New Roman" w:cs="Times New Roman"/>
          <w:lang w:val="es-MX"/>
        </w:rPr>
        <w:t>no han respondido en la misma</w:t>
      </w:r>
      <w:r>
        <w:rPr>
          <w:rFonts w:ascii="Times New Roman" w:hAnsi="Times New Roman" w:cs="Times New Roman"/>
          <w:lang w:val="es-MX"/>
        </w:rPr>
        <w:t xml:space="preserve"> escala </w:t>
      </w:r>
      <w:r w:rsidR="00AE6139">
        <w:rPr>
          <w:rFonts w:ascii="Times New Roman" w:hAnsi="Times New Roman" w:cs="Times New Roman"/>
          <w:lang w:val="es-MX"/>
        </w:rPr>
        <w:t xml:space="preserve">afectando los niveles de </w:t>
      </w:r>
      <w:r>
        <w:rPr>
          <w:rFonts w:ascii="Times New Roman" w:hAnsi="Times New Roman" w:cs="Times New Roman"/>
          <w:lang w:val="es-MX"/>
        </w:rPr>
        <w:t>inversión en los países exportadores de materias primas</w:t>
      </w:r>
      <w:r w:rsidR="00AE6139">
        <w:rPr>
          <w:rFonts w:ascii="Times New Roman" w:hAnsi="Times New Roman" w:cs="Times New Roman"/>
          <w:lang w:val="es-MX"/>
        </w:rPr>
        <w:t xml:space="preserve"> e impactó negativamente las acciones desarrolladas en algunos países, tal es el caso de Brasil y Rusia, a ello se suma la incidencia de los precios del petróleo.  </w:t>
      </w:r>
    </w:p>
    <w:p w:rsidR="002238D7" w:rsidRPr="00082DC7" w:rsidRDefault="00E9722C" w:rsidP="00082DC7">
      <w:pPr>
        <w:pStyle w:val="Ttulo2"/>
        <w:rPr>
          <w:rFonts w:ascii="Times New Roman" w:hAnsi="Times New Roman" w:cs="Times New Roman"/>
          <w:color w:val="auto"/>
          <w:sz w:val="24"/>
        </w:rPr>
      </w:pPr>
      <w:bookmarkStart w:id="4" w:name="_Toc457550820"/>
      <w:r w:rsidRPr="00082DC7">
        <w:rPr>
          <w:rFonts w:ascii="Times New Roman" w:hAnsi="Times New Roman" w:cs="Times New Roman"/>
          <w:color w:val="auto"/>
          <w:sz w:val="24"/>
        </w:rPr>
        <w:t xml:space="preserve">1.2  </w:t>
      </w:r>
      <w:r w:rsidR="002238D7" w:rsidRPr="00082DC7">
        <w:rPr>
          <w:rFonts w:ascii="Times New Roman" w:hAnsi="Times New Roman" w:cs="Times New Roman"/>
          <w:color w:val="auto"/>
          <w:sz w:val="24"/>
        </w:rPr>
        <w:t>Perspectivas económicas</w:t>
      </w:r>
      <w:bookmarkEnd w:id="4"/>
    </w:p>
    <w:p w:rsidR="002238D7" w:rsidRDefault="002238D7" w:rsidP="002238D7">
      <w:pPr>
        <w:jc w:val="both"/>
        <w:rPr>
          <w:rFonts w:ascii="Times New Roman" w:hAnsi="Times New Roman" w:cs="Times New Roman"/>
          <w:b/>
          <w:lang w:val="es-MX"/>
        </w:rPr>
      </w:pPr>
    </w:p>
    <w:p w:rsidR="002238D7" w:rsidRDefault="00AE6139" w:rsidP="002238D7">
      <w:pPr>
        <w:jc w:val="both"/>
        <w:rPr>
          <w:rFonts w:ascii="Times New Roman" w:hAnsi="Times New Roman" w:cs="Times New Roman"/>
          <w:lang w:val="es-MX"/>
        </w:rPr>
      </w:pPr>
      <w:r>
        <w:rPr>
          <w:rFonts w:ascii="Times New Roman" w:hAnsi="Times New Roman" w:cs="Times New Roman"/>
          <w:lang w:val="es-MX"/>
        </w:rPr>
        <w:t>L</w:t>
      </w:r>
      <w:r w:rsidR="002238D7">
        <w:rPr>
          <w:rFonts w:ascii="Times New Roman" w:hAnsi="Times New Roman" w:cs="Times New Roman"/>
          <w:lang w:val="es-MX"/>
        </w:rPr>
        <w:t xml:space="preserve">a trayectoria de crecimiento continúa siendo bastante modesta, vulnerable y volátil a eventos geopolíticos especialmente en Europa; los principales organismos internacionales coinciden ante los datos preliminares de los indicadores económicos del semestre, que existirá un ajuste a la baja en el crecimiento económico. </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El FMI en la más reciente actualización de su informe sobre las perspectivas de la economía mundial (WEO por sus siglas en inglés) correspondiente a julio 2016 pronosticó un crecimiento económico mundial de 3.1%, menor en una décima a lo pronosticado en su previa actualización; dicha disminución se atribuye al efecto brexit del cual ya se contemplan consecuencias macroeconómicas negativas, principalmente en las economías avanzadas de Europa, pues implica un aumento trascendente de la incertidumbre económica, política e institucional.</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En las economías avanzadas, la revisión a la baja más notoria del crecimiento proyectado corresponde a Reino Unido, considerando que el aumento de la incertidumbre tras el referéndum debilitará considerablemente la demanda interna, lo cual implica que el crecimiento ha sido revisado a la baja en alrededor de 0.2 puntos porcentuales para 2016 y cerca de 1 punto porcentual en 2017.</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 xml:space="preserve">El crecimiento de la economía de </w:t>
      </w:r>
      <w:r w:rsidR="00AE6139">
        <w:rPr>
          <w:rFonts w:ascii="Times New Roman" w:hAnsi="Times New Roman" w:cs="Times New Roman"/>
          <w:lang w:val="es-MX"/>
        </w:rPr>
        <w:t xml:space="preserve">EEUU </w:t>
      </w:r>
      <w:r>
        <w:rPr>
          <w:rFonts w:ascii="Times New Roman" w:hAnsi="Times New Roman" w:cs="Times New Roman"/>
          <w:lang w:val="es-MX"/>
        </w:rPr>
        <w:t xml:space="preserve">en lo que va del año ha sido más débil de lo esperado, lo que generó una revisión a la baja de 0.2 puntos porcentuales con respecto al pronóstico de crecimiento para 2016.  De acuerdo al resultado de los indicadores de alta </w:t>
      </w:r>
      <w:r>
        <w:rPr>
          <w:rFonts w:ascii="Times New Roman" w:hAnsi="Times New Roman" w:cs="Times New Roman"/>
          <w:lang w:val="es-MX"/>
        </w:rPr>
        <w:lastRenderedPageBreak/>
        <w:t xml:space="preserve">frecuencia existirá </w:t>
      </w:r>
      <w:r w:rsidR="00AE6139">
        <w:rPr>
          <w:rFonts w:ascii="Times New Roman" w:hAnsi="Times New Roman" w:cs="Times New Roman"/>
          <w:lang w:val="es-MX"/>
        </w:rPr>
        <w:t xml:space="preserve">una leve recuperación </w:t>
      </w:r>
      <w:r>
        <w:rPr>
          <w:rFonts w:ascii="Times New Roman" w:hAnsi="Times New Roman" w:cs="Times New Roman"/>
          <w:lang w:val="es-MX"/>
        </w:rPr>
        <w:t>durante el segundo trimestre y para el resto del año.  En general, el crecimiento económico está condicionado por el riesgo que representa la apreciación del dólar y de las políticas monetarias que la Reserva Federal adopte. El FMI proyecta que los efectos del brexit sean moderados, dado que se prevé que la reducción de las tasas de interés de largo plazo y la trayectoria más gradual de la normalización de la política monetaria neutralice en general el aumento de los diferenciales corporativos, el fortalecimiento del dólar y el deterioro de la confianza.</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 xml:space="preserve">En la </w:t>
      </w:r>
      <w:r w:rsidR="00AE6139">
        <w:rPr>
          <w:rFonts w:ascii="Times New Roman" w:hAnsi="Times New Roman" w:cs="Times New Roman"/>
          <w:lang w:val="es-MX"/>
        </w:rPr>
        <w:t>Eurozona</w:t>
      </w:r>
      <w:r>
        <w:rPr>
          <w:rFonts w:ascii="Times New Roman" w:hAnsi="Times New Roman" w:cs="Times New Roman"/>
          <w:lang w:val="es-MX"/>
        </w:rPr>
        <w:t xml:space="preserve"> se </w:t>
      </w:r>
      <w:r w:rsidR="00AE6139">
        <w:rPr>
          <w:rFonts w:ascii="Times New Roman" w:hAnsi="Times New Roman" w:cs="Times New Roman"/>
          <w:lang w:val="es-MX"/>
        </w:rPr>
        <w:t xml:space="preserve">da cuenta de </w:t>
      </w:r>
      <w:r>
        <w:rPr>
          <w:rFonts w:ascii="Times New Roman" w:hAnsi="Times New Roman" w:cs="Times New Roman"/>
          <w:lang w:val="es-MX"/>
        </w:rPr>
        <w:t>un crecimiento superior al esperado del 2.2% en el primer trimestre, impulsado por la fuerte demanda interna y en inversión; las perspectivas de crecimiento eran optimistas hasta considerar las repercusiones que pueda tener el referéndum en el Reino Unido, que van desde un aumento de la incertidumbre en la confianza de los consumidores y las empresas, hasta tensiones bancarias.</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En Japón, la actividad económica durante la primera mitad del año resultó arriba de lo previsto, aunque el impulso de la demanda interna sigue siendo débil, la inflación ha disminuido.  El pronóstico de crecimiento se ha disminuido en 0.2 puntos porcentuales para 2016 y 2017.  Según el FMI el pronóstico para el 2017 se habría incrementado 0.4 puntos porcentuales de no existir el retraso  en el aumento del impuesto al consumo de abril de 2017 a octubre de 2019.</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En China, las perspectivas de corto plazo mejoraron debido al reciente respaldo a la política económica. Las perspectivas permanecen sin cambio con respecto a la revisión anterior, sin embargo, si el crecimiento de la Unión Europea se ve afectado de manera significativa, el efecto adverso en China podría ser representativo.</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En los mercados emergentes grandes las perspectivas continúan siendo variadas, en Brasil la confianza de los consumidores y las empresas parecen haber comenzado a repuntar, y la contracción del PIB en el primer trimestre del año fue menor a la esperada.  En India, la actividad económica sigue siendo vigorosa, pero el pronóstico de crecimiento para 2016 y 2017 se revisó ligeramente a la baja, debido a la recuperación más débil de la inversión.</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 xml:space="preserve">En Oriente Medio, los países exportadores de petróleo se están beneficiando en general de la reciente recuperación moderada de los precios del petróleo mientras siguen adelante con sus planes de consolidación fiscal en respuesta a la disminución estructural de los ingresos procedentes del petróleo.  </w:t>
      </w:r>
    </w:p>
    <w:p w:rsidR="00E9722C" w:rsidRDefault="00E9722C" w:rsidP="002238D7">
      <w:pPr>
        <w:jc w:val="both"/>
        <w:rPr>
          <w:rFonts w:ascii="Times New Roman" w:hAnsi="Times New Roman" w:cs="Times New Roman"/>
          <w:lang w:val="es-MX"/>
        </w:rPr>
      </w:pPr>
    </w:p>
    <w:p w:rsidR="00E9722C" w:rsidRDefault="00E9722C" w:rsidP="002238D7">
      <w:pPr>
        <w:jc w:val="both"/>
        <w:rPr>
          <w:rFonts w:ascii="Times New Roman" w:hAnsi="Times New Roman" w:cs="Times New Roman"/>
          <w:lang w:val="es-MX"/>
        </w:rPr>
      </w:pPr>
    </w:p>
    <w:p w:rsidR="00E9722C" w:rsidRDefault="00E9722C"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b/>
          <w:lang w:val="es-MX"/>
        </w:rPr>
      </w:pPr>
    </w:p>
    <w:p w:rsidR="00082DC7" w:rsidRDefault="00082DC7" w:rsidP="002238D7">
      <w:pPr>
        <w:jc w:val="both"/>
        <w:rPr>
          <w:rFonts w:ascii="Times New Roman" w:hAnsi="Times New Roman" w:cs="Times New Roman"/>
          <w:b/>
          <w:lang w:val="es-MX"/>
        </w:rPr>
      </w:pPr>
    </w:p>
    <w:p w:rsidR="00082DC7" w:rsidRDefault="00082DC7" w:rsidP="002238D7">
      <w:pPr>
        <w:jc w:val="both"/>
        <w:rPr>
          <w:rFonts w:ascii="Times New Roman" w:hAnsi="Times New Roman" w:cs="Times New Roman"/>
          <w:b/>
          <w:lang w:val="es-MX"/>
        </w:rPr>
      </w:pPr>
    </w:p>
    <w:p w:rsidR="00082DC7" w:rsidRDefault="00082DC7" w:rsidP="002238D7">
      <w:pPr>
        <w:jc w:val="both"/>
        <w:rPr>
          <w:rFonts w:ascii="Times New Roman" w:hAnsi="Times New Roman" w:cs="Times New Roman"/>
          <w:b/>
          <w:lang w:val="es-MX"/>
        </w:rPr>
      </w:pPr>
    </w:p>
    <w:p w:rsidR="002238D7" w:rsidRPr="00082DC7" w:rsidRDefault="002238D7" w:rsidP="002238D7">
      <w:pPr>
        <w:jc w:val="center"/>
        <w:rPr>
          <w:rFonts w:ascii="Times New Roman" w:hAnsi="Times New Roman" w:cs="Times New Roman"/>
          <w:b/>
          <w:lang w:val="es-MX"/>
        </w:rPr>
      </w:pPr>
      <w:r w:rsidRPr="00082DC7">
        <w:rPr>
          <w:rFonts w:ascii="Times New Roman" w:hAnsi="Times New Roman" w:cs="Times New Roman"/>
          <w:b/>
          <w:lang w:val="es-MX"/>
        </w:rPr>
        <w:lastRenderedPageBreak/>
        <w:t>Perspectivas y Proyecciones del Crecimiento Económico Mundial</w:t>
      </w:r>
    </w:p>
    <w:p w:rsidR="002238D7" w:rsidRPr="00082DC7" w:rsidRDefault="002238D7" w:rsidP="002238D7">
      <w:pPr>
        <w:jc w:val="center"/>
        <w:rPr>
          <w:rFonts w:ascii="Times New Roman" w:hAnsi="Times New Roman" w:cs="Times New Roman"/>
          <w:b/>
          <w:sz w:val="22"/>
          <w:lang w:val="es-MX"/>
        </w:rPr>
      </w:pPr>
      <w:r w:rsidRPr="00082DC7">
        <w:rPr>
          <w:rFonts w:ascii="Times New Roman" w:hAnsi="Times New Roman" w:cs="Times New Roman"/>
          <w:b/>
          <w:sz w:val="22"/>
          <w:lang w:val="es-MX"/>
        </w:rPr>
        <w:t>2015-2017</w:t>
      </w:r>
    </w:p>
    <w:p w:rsidR="002238D7" w:rsidRPr="00082DC7" w:rsidRDefault="002238D7" w:rsidP="002238D7">
      <w:pPr>
        <w:jc w:val="center"/>
        <w:rPr>
          <w:rFonts w:ascii="Times New Roman" w:hAnsi="Times New Roman" w:cs="Times New Roman"/>
          <w:sz w:val="22"/>
          <w:lang w:val="es-MX"/>
        </w:rPr>
      </w:pPr>
      <w:r w:rsidRPr="00082DC7">
        <w:rPr>
          <w:rFonts w:ascii="Times New Roman" w:hAnsi="Times New Roman" w:cs="Times New Roman"/>
          <w:sz w:val="22"/>
          <w:lang w:val="es-MX"/>
        </w:rPr>
        <w:t>Porcentajes</w:t>
      </w:r>
    </w:p>
    <w:tbl>
      <w:tblPr>
        <w:tblStyle w:val="Tablaconcuadrcula"/>
        <w:tblW w:w="0" w:type="auto"/>
        <w:tblLook w:val="04A0" w:firstRow="1" w:lastRow="0" w:firstColumn="1" w:lastColumn="0" w:noHBand="0" w:noVBand="1"/>
      </w:tblPr>
      <w:tblGrid>
        <w:gridCol w:w="1255"/>
        <w:gridCol w:w="791"/>
        <w:gridCol w:w="910"/>
        <w:gridCol w:w="822"/>
        <w:gridCol w:w="792"/>
        <w:gridCol w:w="909"/>
        <w:gridCol w:w="823"/>
        <w:gridCol w:w="793"/>
        <w:gridCol w:w="910"/>
        <w:gridCol w:w="823"/>
      </w:tblGrid>
      <w:tr w:rsidR="002238D7" w:rsidTr="002238D7">
        <w:tc>
          <w:tcPr>
            <w:tcW w:w="1255" w:type="dxa"/>
            <w:vMerge w:val="restart"/>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Países y Regiones</w:t>
            </w:r>
          </w:p>
        </w:tc>
        <w:tc>
          <w:tcPr>
            <w:tcW w:w="2787" w:type="dxa"/>
            <w:gridSpan w:val="3"/>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2015</w:t>
            </w:r>
          </w:p>
        </w:tc>
        <w:tc>
          <w:tcPr>
            <w:tcW w:w="2788" w:type="dxa"/>
            <w:gridSpan w:val="3"/>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Perspectivas 2016</w:t>
            </w:r>
          </w:p>
        </w:tc>
        <w:tc>
          <w:tcPr>
            <w:tcW w:w="2790" w:type="dxa"/>
            <w:gridSpan w:val="3"/>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Proyecciones 2017</w:t>
            </w:r>
          </w:p>
        </w:tc>
      </w:tr>
      <w:tr w:rsidR="002238D7" w:rsidTr="002238D7">
        <w:tc>
          <w:tcPr>
            <w:tcW w:w="1255" w:type="dxa"/>
            <w:vMerge/>
            <w:shd w:val="clear" w:color="auto" w:fill="8DB3E2" w:themeFill="text2" w:themeFillTint="66"/>
          </w:tcPr>
          <w:p w:rsidR="002238D7" w:rsidRPr="002238D7" w:rsidRDefault="002238D7" w:rsidP="002238D7">
            <w:pPr>
              <w:jc w:val="center"/>
              <w:rPr>
                <w:rFonts w:ascii="Times New Roman" w:hAnsi="Times New Roman" w:cs="Times New Roman"/>
                <w:b/>
                <w:lang w:val="es-MX"/>
              </w:rPr>
            </w:pPr>
          </w:p>
        </w:tc>
        <w:tc>
          <w:tcPr>
            <w:tcW w:w="918" w:type="dxa"/>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BM</w:t>
            </w:r>
          </w:p>
        </w:tc>
        <w:tc>
          <w:tcPr>
            <w:tcW w:w="944" w:type="dxa"/>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OCDE</w:t>
            </w:r>
          </w:p>
        </w:tc>
        <w:tc>
          <w:tcPr>
            <w:tcW w:w="925" w:type="dxa"/>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FMI</w:t>
            </w:r>
          </w:p>
        </w:tc>
        <w:tc>
          <w:tcPr>
            <w:tcW w:w="920" w:type="dxa"/>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BM</w:t>
            </w:r>
          </w:p>
        </w:tc>
        <w:tc>
          <w:tcPr>
            <w:tcW w:w="942" w:type="dxa"/>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OCDE</w:t>
            </w:r>
          </w:p>
        </w:tc>
        <w:tc>
          <w:tcPr>
            <w:tcW w:w="926" w:type="dxa"/>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FMI</w:t>
            </w:r>
          </w:p>
        </w:tc>
        <w:tc>
          <w:tcPr>
            <w:tcW w:w="921" w:type="dxa"/>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BM</w:t>
            </w:r>
          </w:p>
        </w:tc>
        <w:tc>
          <w:tcPr>
            <w:tcW w:w="943" w:type="dxa"/>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OCDE</w:t>
            </w:r>
          </w:p>
        </w:tc>
        <w:tc>
          <w:tcPr>
            <w:tcW w:w="926" w:type="dxa"/>
            <w:shd w:val="clear" w:color="auto" w:fill="8DB3E2" w:themeFill="text2" w:themeFillTint="66"/>
          </w:tcPr>
          <w:p w:rsidR="002238D7" w:rsidRPr="002238D7" w:rsidRDefault="002238D7" w:rsidP="002238D7">
            <w:pPr>
              <w:jc w:val="center"/>
              <w:rPr>
                <w:rFonts w:ascii="Times New Roman" w:hAnsi="Times New Roman" w:cs="Times New Roman"/>
                <w:b/>
                <w:lang w:val="es-MX"/>
              </w:rPr>
            </w:pPr>
            <w:r w:rsidRPr="002238D7">
              <w:rPr>
                <w:rFonts w:ascii="Times New Roman" w:hAnsi="Times New Roman" w:cs="Times New Roman"/>
                <w:b/>
                <w:lang w:val="es-MX"/>
              </w:rPr>
              <w:t>FMI</w:t>
            </w:r>
          </w:p>
        </w:tc>
      </w:tr>
      <w:tr w:rsidR="002238D7" w:rsidTr="002238D7">
        <w:tc>
          <w:tcPr>
            <w:tcW w:w="1255" w:type="dxa"/>
          </w:tcPr>
          <w:p w:rsidR="002238D7" w:rsidRDefault="002238D7" w:rsidP="002238D7">
            <w:pPr>
              <w:jc w:val="both"/>
              <w:rPr>
                <w:rFonts w:ascii="Times New Roman" w:hAnsi="Times New Roman" w:cs="Times New Roman"/>
                <w:b/>
                <w:lang w:val="es-MX"/>
              </w:rPr>
            </w:pPr>
            <w:r>
              <w:rPr>
                <w:rFonts w:ascii="Times New Roman" w:hAnsi="Times New Roman" w:cs="Times New Roman"/>
                <w:b/>
                <w:lang w:val="es-MX"/>
              </w:rPr>
              <w:t>Mundo</w:t>
            </w:r>
          </w:p>
        </w:tc>
        <w:tc>
          <w:tcPr>
            <w:tcW w:w="918" w:type="dxa"/>
            <w:vAlign w:val="center"/>
          </w:tcPr>
          <w:p w:rsidR="002238D7" w:rsidRPr="00967A6F" w:rsidRDefault="002238D7" w:rsidP="002238D7">
            <w:pPr>
              <w:jc w:val="center"/>
              <w:rPr>
                <w:rFonts w:ascii="Times New Roman" w:hAnsi="Times New Roman" w:cs="Times New Roman"/>
                <w:b/>
                <w:sz w:val="20"/>
                <w:lang w:val="es-MX"/>
              </w:rPr>
            </w:pPr>
            <w:r w:rsidRPr="00967A6F">
              <w:rPr>
                <w:rFonts w:ascii="Times New Roman" w:hAnsi="Times New Roman" w:cs="Times New Roman"/>
                <w:b/>
                <w:sz w:val="20"/>
                <w:lang w:val="es-MX"/>
              </w:rPr>
              <w:t>2.4</w:t>
            </w:r>
          </w:p>
        </w:tc>
        <w:tc>
          <w:tcPr>
            <w:tcW w:w="944" w:type="dxa"/>
            <w:vAlign w:val="center"/>
          </w:tcPr>
          <w:p w:rsidR="002238D7" w:rsidRPr="00967A6F" w:rsidRDefault="002238D7" w:rsidP="002238D7">
            <w:pPr>
              <w:jc w:val="center"/>
              <w:rPr>
                <w:rFonts w:ascii="Times New Roman" w:hAnsi="Times New Roman" w:cs="Times New Roman"/>
                <w:b/>
                <w:sz w:val="20"/>
                <w:lang w:val="es-MX"/>
              </w:rPr>
            </w:pPr>
            <w:r w:rsidRPr="00967A6F">
              <w:rPr>
                <w:rFonts w:ascii="Times New Roman" w:hAnsi="Times New Roman" w:cs="Times New Roman"/>
                <w:b/>
                <w:sz w:val="20"/>
                <w:lang w:val="es-MX"/>
              </w:rPr>
              <w:t>3.0</w:t>
            </w:r>
          </w:p>
        </w:tc>
        <w:tc>
          <w:tcPr>
            <w:tcW w:w="925" w:type="dxa"/>
            <w:vAlign w:val="center"/>
          </w:tcPr>
          <w:p w:rsidR="002238D7" w:rsidRPr="00967A6F" w:rsidRDefault="002238D7" w:rsidP="002238D7">
            <w:pPr>
              <w:jc w:val="center"/>
              <w:rPr>
                <w:rFonts w:ascii="Times New Roman" w:hAnsi="Times New Roman" w:cs="Times New Roman"/>
                <w:b/>
                <w:sz w:val="20"/>
                <w:lang w:val="es-MX"/>
              </w:rPr>
            </w:pPr>
            <w:r w:rsidRPr="00967A6F">
              <w:rPr>
                <w:rFonts w:ascii="Times New Roman" w:hAnsi="Times New Roman" w:cs="Times New Roman"/>
                <w:b/>
                <w:sz w:val="20"/>
                <w:lang w:val="es-MX"/>
              </w:rPr>
              <w:t>3.1</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b/>
                <w:sz w:val="20"/>
                <w:lang w:val="es-MX"/>
              </w:rPr>
            </w:pPr>
            <w:r w:rsidRPr="00967A6F">
              <w:rPr>
                <w:rFonts w:ascii="Times New Roman" w:hAnsi="Times New Roman" w:cs="Times New Roman"/>
                <w:b/>
                <w:sz w:val="20"/>
                <w:lang w:val="es-MX"/>
              </w:rPr>
              <w:t>2.4</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b/>
                <w:sz w:val="20"/>
                <w:lang w:val="es-MX"/>
              </w:rPr>
            </w:pPr>
            <w:r w:rsidRPr="00967A6F">
              <w:rPr>
                <w:rFonts w:ascii="Times New Roman" w:hAnsi="Times New Roman" w:cs="Times New Roman"/>
                <w:b/>
                <w:sz w:val="20"/>
                <w:lang w:val="es-MX"/>
              </w:rPr>
              <w:t>3.0</w:t>
            </w: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b/>
                <w:sz w:val="20"/>
                <w:lang w:val="es-MX"/>
              </w:rPr>
            </w:pPr>
            <w:r w:rsidRPr="00967A6F">
              <w:rPr>
                <w:rFonts w:ascii="Times New Roman" w:hAnsi="Times New Roman" w:cs="Times New Roman"/>
                <w:b/>
                <w:sz w:val="20"/>
                <w:lang w:val="es-MX"/>
              </w:rPr>
              <w:t>3.1</w:t>
            </w:r>
          </w:p>
        </w:tc>
        <w:tc>
          <w:tcPr>
            <w:tcW w:w="921" w:type="dxa"/>
            <w:vAlign w:val="center"/>
          </w:tcPr>
          <w:p w:rsidR="002238D7" w:rsidRPr="00967A6F" w:rsidRDefault="002238D7" w:rsidP="002238D7">
            <w:pPr>
              <w:jc w:val="center"/>
              <w:rPr>
                <w:rFonts w:ascii="Times New Roman" w:hAnsi="Times New Roman" w:cs="Times New Roman"/>
                <w:b/>
                <w:sz w:val="20"/>
                <w:lang w:val="es-MX"/>
              </w:rPr>
            </w:pPr>
            <w:r w:rsidRPr="00967A6F">
              <w:rPr>
                <w:rFonts w:ascii="Times New Roman" w:hAnsi="Times New Roman" w:cs="Times New Roman"/>
                <w:b/>
                <w:sz w:val="20"/>
                <w:lang w:val="es-MX"/>
              </w:rPr>
              <w:t>2.8</w:t>
            </w:r>
          </w:p>
        </w:tc>
        <w:tc>
          <w:tcPr>
            <w:tcW w:w="943" w:type="dxa"/>
            <w:vAlign w:val="center"/>
          </w:tcPr>
          <w:p w:rsidR="002238D7" w:rsidRPr="00967A6F" w:rsidRDefault="002238D7" w:rsidP="002238D7">
            <w:pPr>
              <w:jc w:val="center"/>
              <w:rPr>
                <w:rFonts w:ascii="Times New Roman" w:hAnsi="Times New Roman" w:cs="Times New Roman"/>
                <w:b/>
                <w:sz w:val="20"/>
                <w:lang w:val="es-MX"/>
              </w:rPr>
            </w:pPr>
            <w:r w:rsidRPr="00967A6F">
              <w:rPr>
                <w:rFonts w:ascii="Times New Roman" w:hAnsi="Times New Roman" w:cs="Times New Roman"/>
                <w:b/>
                <w:sz w:val="20"/>
                <w:lang w:val="es-MX"/>
              </w:rPr>
              <w:t>3.3</w:t>
            </w:r>
          </w:p>
        </w:tc>
        <w:tc>
          <w:tcPr>
            <w:tcW w:w="926" w:type="dxa"/>
            <w:vAlign w:val="center"/>
          </w:tcPr>
          <w:p w:rsidR="002238D7" w:rsidRPr="00967A6F" w:rsidRDefault="002238D7" w:rsidP="002238D7">
            <w:pPr>
              <w:jc w:val="center"/>
              <w:rPr>
                <w:rFonts w:ascii="Times New Roman" w:hAnsi="Times New Roman" w:cs="Times New Roman"/>
                <w:b/>
                <w:sz w:val="20"/>
                <w:lang w:val="es-MX"/>
              </w:rPr>
            </w:pPr>
            <w:r w:rsidRPr="00967A6F">
              <w:rPr>
                <w:rFonts w:ascii="Times New Roman" w:hAnsi="Times New Roman" w:cs="Times New Roman"/>
                <w:b/>
                <w:sz w:val="20"/>
                <w:lang w:val="es-MX"/>
              </w:rPr>
              <w:t>3.4</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sidRPr="000256C9">
              <w:rPr>
                <w:rFonts w:ascii="Times New Roman" w:hAnsi="Times New Roman" w:cs="Times New Roman"/>
                <w:lang w:val="es-MX"/>
              </w:rPr>
              <w:t>Economías Avanzadas</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1.8</w:t>
            </w:r>
          </w:p>
        </w:tc>
        <w:tc>
          <w:tcPr>
            <w:tcW w:w="944" w:type="dxa"/>
            <w:vAlign w:val="center"/>
          </w:tcPr>
          <w:p w:rsidR="002238D7" w:rsidRPr="00967A6F" w:rsidRDefault="002238D7" w:rsidP="002238D7">
            <w:pPr>
              <w:jc w:val="center"/>
              <w:rPr>
                <w:rFonts w:ascii="Times New Roman" w:hAnsi="Times New Roman" w:cs="Times New Roman"/>
                <w:sz w:val="20"/>
                <w:lang w:val="es-MX"/>
              </w:rPr>
            </w:pP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1.9</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1.7</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1.8</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1.9</w:t>
            </w:r>
          </w:p>
        </w:tc>
        <w:tc>
          <w:tcPr>
            <w:tcW w:w="943" w:type="dxa"/>
            <w:vAlign w:val="center"/>
          </w:tcPr>
          <w:p w:rsidR="002238D7" w:rsidRPr="00967A6F" w:rsidRDefault="002238D7" w:rsidP="002238D7">
            <w:pPr>
              <w:jc w:val="center"/>
              <w:rPr>
                <w:rFonts w:ascii="Times New Roman" w:hAnsi="Times New Roman" w:cs="Times New Roman"/>
                <w:sz w:val="20"/>
                <w:lang w:val="es-MX"/>
              </w:rPr>
            </w:pP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1.8</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sidRPr="000256C9">
              <w:rPr>
                <w:rFonts w:ascii="Times New Roman" w:hAnsi="Times New Roman" w:cs="Times New Roman"/>
                <w:lang w:val="es-MX"/>
              </w:rPr>
              <w:t>EEUU</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2.4</w:t>
            </w:r>
          </w:p>
        </w:tc>
        <w:tc>
          <w:tcPr>
            <w:tcW w:w="944"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2.4</w:t>
            </w: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2.4</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1.9</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1.8</w:t>
            </w: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2.2</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2.2</w:t>
            </w:r>
          </w:p>
        </w:tc>
        <w:tc>
          <w:tcPr>
            <w:tcW w:w="943"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2.2</w:t>
            </w: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2.5</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sidRPr="000256C9">
              <w:rPr>
                <w:rFonts w:ascii="Times New Roman" w:hAnsi="Times New Roman" w:cs="Times New Roman"/>
                <w:lang w:val="es-MX"/>
              </w:rPr>
              <w:t>Eurozona</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1.6</w:t>
            </w:r>
          </w:p>
        </w:tc>
        <w:tc>
          <w:tcPr>
            <w:tcW w:w="944"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1.6</w:t>
            </w: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1.7</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1.6</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1.6</w:t>
            </w: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1.6</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1.6</w:t>
            </w:r>
          </w:p>
        </w:tc>
        <w:tc>
          <w:tcPr>
            <w:tcW w:w="943"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1.7</w:t>
            </w: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1.4</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Pr>
                <w:rFonts w:ascii="Times New Roman" w:hAnsi="Times New Roman" w:cs="Times New Roman"/>
                <w:lang w:val="es-MX"/>
              </w:rPr>
              <w:t>Japón</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0.6</w:t>
            </w:r>
          </w:p>
        </w:tc>
        <w:tc>
          <w:tcPr>
            <w:tcW w:w="944"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0.6</w:t>
            </w: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0.5</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0.5</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0.7</w:t>
            </w: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0.3</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0.5</w:t>
            </w:r>
          </w:p>
        </w:tc>
        <w:tc>
          <w:tcPr>
            <w:tcW w:w="943"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0.4</w:t>
            </w: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0.1</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sidRPr="000256C9">
              <w:rPr>
                <w:rFonts w:ascii="Times New Roman" w:hAnsi="Times New Roman" w:cs="Times New Roman"/>
                <w:lang w:val="es-MX"/>
              </w:rPr>
              <w:t>Economías Emergentes</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3.4</w:t>
            </w:r>
          </w:p>
        </w:tc>
        <w:tc>
          <w:tcPr>
            <w:tcW w:w="944" w:type="dxa"/>
            <w:vAlign w:val="center"/>
          </w:tcPr>
          <w:p w:rsidR="002238D7" w:rsidRPr="00967A6F" w:rsidRDefault="002238D7" w:rsidP="002238D7">
            <w:pPr>
              <w:jc w:val="center"/>
              <w:rPr>
                <w:rFonts w:ascii="Times New Roman" w:hAnsi="Times New Roman" w:cs="Times New Roman"/>
                <w:sz w:val="20"/>
                <w:lang w:val="es-MX"/>
              </w:rPr>
            </w:pP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4.0</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3.5</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4.1</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4.4</w:t>
            </w:r>
          </w:p>
        </w:tc>
        <w:tc>
          <w:tcPr>
            <w:tcW w:w="943" w:type="dxa"/>
            <w:vAlign w:val="center"/>
          </w:tcPr>
          <w:p w:rsidR="002238D7" w:rsidRPr="00967A6F" w:rsidRDefault="002238D7" w:rsidP="002238D7">
            <w:pPr>
              <w:jc w:val="center"/>
              <w:rPr>
                <w:rFonts w:ascii="Times New Roman" w:hAnsi="Times New Roman" w:cs="Times New Roman"/>
                <w:sz w:val="20"/>
                <w:lang w:val="es-MX"/>
              </w:rPr>
            </w:pP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4.6</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sidRPr="000256C9">
              <w:rPr>
                <w:rFonts w:ascii="Times New Roman" w:hAnsi="Times New Roman" w:cs="Times New Roman"/>
                <w:lang w:val="es-MX"/>
              </w:rPr>
              <w:t>China</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6.9</w:t>
            </w:r>
          </w:p>
        </w:tc>
        <w:tc>
          <w:tcPr>
            <w:tcW w:w="944"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6.9</w:t>
            </w: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6.9</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6.7</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6.5</w:t>
            </w: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6.6</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6.5</w:t>
            </w:r>
          </w:p>
        </w:tc>
        <w:tc>
          <w:tcPr>
            <w:tcW w:w="943"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6.2</w:t>
            </w: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6.2</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sidRPr="000256C9">
              <w:rPr>
                <w:rFonts w:ascii="Times New Roman" w:hAnsi="Times New Roman" w:cs="Times New Roman"/>
                <w:lang w:val="es-MX"/>
              </w:rPr>
              <w:t>India</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7.6</w:t>
            </w:r>
          </w:p>
        </w:tc>
        <w:tc>
          <w:tcPr>
            <w:tcW w:w="944"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7.4</w:t>
            </w: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7.6</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7.6</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7.4</w:t>
            </w: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7.4</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7.7</w:t>
            </w:r>
          </w:p>
        </w:tc>
        <w:tc>
          <w:tcPr>
            <w:tcW w:w="943"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7.5</w:t>
            </w: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7.4</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sidRPr="000256C9">
              <w:rPr>
                <w:rFonts w:ascii="Times New Roman" w:hAnsi="Times New Roman" w:cs="Times New Roman"/>
                <w:lang w:val="es-MX"/>
              </w:rPr>
              <w:t>América Latina</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-0.7</w:t>
            </w:r>
          </w:p>
        </w:tc>
        <w:tc>
          <w:tcPr>
            <w:tcW w:w="944" w:type="dxa"/>
            <w:vAlign w:val="center"/>
          </w:tcPr>
          <w:p w:rsidR="002238D7" w:rsidRPr="00967A6F" w:rsidRDefault="002238D7" w:rsidP="002238D7">
            <w:pPr>
              <w:jc w:val="center"/>
              <w:rPr>
                <w:rFonts w:ascii="Times New Roman" w:hAnsi="Times New Roman" w:cs="Times New Roman"/>
                <w:sz w:val="20"/>
                <w:lang w:val="es-MX"/>
              </w:rPr>
            </w:pP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0.0</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-1.3</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-0.4</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1.2</w:t>
            </w:r>
          </w:p>
        </w:tc>
        <w:tc>
          <w:tcPr>
            <w:tcW w:w="943" w:type="dxa"/>
            <w:vAlign w:val="center"/>
          </w:tcPr>
          <w:p w:rsidR="002238D7" w:rsidRPr="00967A6F" w:rsidRDefault="002238D7" w:rsidP="002238D7">
            <w:pPr>
              <w:jc w:val="center"/>
              <w:rPr>
                <w:rFonts w:ascii="Times New Roman" w:hAnsi="Times New Roman" w:cs="Times New Roman"/>
                <w:sz w:val="20"/>
                <w:lang w:val="es-MX"/>
              </w:rPr>
            </w:pP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1.6</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sidRPr="000256C9">
              <w:rPr>
                <w:rFonts w:ascii="Times New Roman" w:hAnsi="Times New Roman" w:cs="Times New Roman"/>
                <w:lang w:val="es-MX"/>
              </w:rPr>
              <w:t>Brasil</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-3.8</w:t>
            </w:r>
          </w:p>
        </w:tc>
        <w:tc>
          <w:tcPr>
            <w:tcW w:w="944"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-3.9</w:t>
            </w: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-3.8</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-4.0</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-4.3</w:t>
            </w: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-3.3</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-0.2</w:t>
            </w:r>
          </w:p>
        </w:tc>
        <w:tc>
          <w:tcPr>
            <w:tcW w:w="943"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-1.7</w:t>
            </w: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0.5</w:t>
            </w:r>
          </w:p>
        </w:tc>
      </w:tr>
      <w:tr w:rsidR="002238D7" w:rsidTr="002238D7">
        <w:tc>
          <w:tcPr>
            <w:tcW w:w="1255" w:type="dxa"/>
          </w:tcPr>
          <w:p w:rsidR="002238D7" w:rsidRPr="000256C9" w:rsidRDefault="002238D7" w:rsidP="002238D7">
            <w:pPr>
              <w:jc w:val="both"/>
              <w:rPr>
                <w:rFonts w:ascii="Times New Roman" w:hAnsi="Times New Roman" w:cs="Times New Roman"/>
                <w:lang w:val="es-MX"/>
              </w:rPr>
            </w:pPr>
            <w:r w:rsidRPr="000256C9">
              <w:rPr>
                <w:rFonts w:ascii="Times New Roman" w:hAnsi="Times New Roman" w:cs="Times New Roman"/>
                <w:lang w:val="es-MX"/>
              </w:rPr>
              <w:t>México</w:t>
            </w:r>
          </w:p>
        </w:tc>
        <w:tc>
          <w:tcPr>
            <w:tcW w:w="918"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2.5</w:t>
            </w:r>
          </w:p>
        </w:tc>
        <w:tc>
          <w:tcPr>
            <w:tcW w:w="944"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2.5</w:t>
            </w:r>
          </w:p>
        </w:tc>
        <w:tc>
          <w:tcPr>
            <w:tcW w:w="925"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2.5</w:t>
            </w:r>
          </w:p>
        </w:tc>
        <w:tc>
          <w:tcPr>
            <w:tcW w:w="920"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2.5</w:t>
            </w:r>
          </w:p>
        </w:tc>
        <w:tc>
          <w:tcPr>
            <w:tcW w:w="942"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2.6</w:t>
            </w:r>
          </w:p>
        </w:tc>
        <w:tc>
          <w:tcPr>
            <w:tcW w:w="926" w:type="dxa"/>
            <w:shd w:val="clear" w:color="auto" w:fill="D9D9D9" w:themeFill="background1" w:themeFillShade="D9"/>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2.5</w:t>
            </w:r>
          </w:p>
        </w:tc>
        <w:tc>
          <w:tcPr>
            <w:tcW w:w="921"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2.8</w:t>
            </w:r>
          </w:p>
        </w:tc>
        <w:tc>
          <w:tcPr>
            <w:tcW w:w="943"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2.9</w:t>
            </w:r>
          </w:p>
        </w:tc>
        <w:tc>
          <w:tcPr>
            <w:tcW w:w="926" w:type="dxa"/>
            <w:vAlign w:val="center"/>
          </w:tcPr>
          <w:p w:rsidR="002238D7" w:rsidRPr="00967A6F" w:rsidRDefault="002238D7" w:rsidP="002238D7">
            <w:pPr>
              <w:jc w:val="center"/>
              <w:rPr>
                <w:rFonts w:ascii="Times New Roman" w:hAnsi="Times New Roman" w:cs="Times New Roman"/>
                <w:sz w:val="20"/>
                <w:lang w:val="es-MX"/>
              </w:rPr>
            </w:pPr>
            <w:r w:rsidRPr="00967A6F">
              <w:rPr>
                <w:rFonts w:ascii="Times New Roman" w:hAnsi="Times New Roman" w:cs="Times New Roman"/>
                <w:sz w:val="20"/>
                <w:lang w:val="es-MX"/>
              </w:rPr>
              <w:t>2.6</w:t>
            </w:r>
          </w:p>
        </w:tc>
      </w:tr>
    </w:tbl>
    <w:p w:rsidR="002238D7" w:rsidRPr="00082DC7" w:rsidRDefault="002238D7" w:rsidP="002238D7">
      <w:pPr>
        <w:jc w:val="both"/>
        <w:rPr>
          <w:rFonts w:ascii="Times New Roman" w:hAnsi="Times New Roman" w:cs="Times New Roman"/>
          <w:sz w:val="16"/>
          <w:lang w:val="es-MX"/>
        </w:rPr>
      </w:pPr>
      <w:r w:rsidRPr="00994DBB">
        <w:rPr>
          <w:rFonts w:ascii="Times New Roman" w:hAnsi="Times New Roman" w:cs="Times New Roman"/>
          <w:sz w:val="16"/>
          <w:lang w:val="es-MX"/>
        </w:rPr>
        <w:t>Fuente: FMI</w:t>
      </w:r>
      <w:r w:rsidR="00082DC7">
        <w:rPr>
          <w:rFonts w:ascii="Times New Roman" w:hAnsi="Times New Roman" w:cs="Times New Roman"/>
          <w:sz w:val="16"/>
          <w:lang w:val="es-MX"/>
        </w:rPr>
        <w:t xml:space="preserve"> (julio 2016), BM (junio 2016), OCDE (junio 2016).</w:t>
      </w:r>
    </w:p>
    <w:p w:rsidR="002238D7" w:rsidRPr="00082DC7" w:rsidRDefault="00E9722C" w:rsidP="00082DC7">
      <w:pPr>
        <w:pStyle w:val="Ttulo2"/>
        <w:rPr>
          <w:rFonts w:ascii="Times New Roman" w:hAnsi="Times New Roman" w:cs="Times New Roman"/>
          <w:color w:val="auto"/>
          <w:sz w:val="24"/>
        </w:rPr>
      </w:pPr>
      <w:bookmarkStart w:id="5" w:name="_Toc457550821"/>
      <w:r w:rsidRPr="00082DC7">
        <w:rPr>
          <w:rFonts w:ascii="Times New Roman" w:hAnsi="Times New Roman" w:cs="Times New Roman"/>
          <w:color w:val="auto"/>
          <w:sz w:val="24"/>
        </w:rPr>
        <w:t xml:space="preserve">1.3  </w:t>
      </w:r>
      <w:r w:rsidR="002238D7" w:rsidRPr="00082DC7">
        <w:rPr>
          <w:rFonts w:ascii="Times New Roman" w:hAnsi="Times New Roman" w:cs="Times New Roman"/>
          <w:color w:val="auto"/>
          <w:sz w:val="24"/>
        </w:rPr>
        <w:t>Entorno regional</w:t>
      </w:r>
      <w:bookmarkEnd w:id="5"/>
    </w:p>
    <w:p w:rsidR="002238D7" w:rsidRDefault="002238D7" w:rsidP="002238D7">
      <w:pPr>
        <w:jc w:val="both"/>
        <w:rPr>
          <w:rFonts w:ascii="Times New Roman" w:hAnsi="Times New Roman" w:cs="Times New Roman"/>
          <w:b/>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La región se ha visto afectada por la creciente incertidumbre en la economía mundial y de una importante caída de la demanda interna de los países de la región, coincidiendo con los datos del primer trimestre de 2016, que muestran que en América Latina la inversión y el consumo privado continúan contrayéndose; la evolución del crecimiento económico ha sido muy diverso entre países y subregiones, las economías del norte recibieron el impulso derivado del precio reducido de la energía, la recuperación de su demanda externa y los ingresos por remesas.  Las economías del sur de la región enfrentan un importante deterioro de los términos de intercambio, una menor demanda agregada externa principalmente de china y los socios intrarregionales.</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Las expectativas económicas para 2016 consideran una contracción en cuatro países latinoamericanos: Argentina, Brasil, Ecuador y la República Bolivariana de Venezuela</w:t>
      </w:r>
      <w:r w:rsidR="00E9722C">
        <w:rPr>
          <w:rFonts w:ascii="Times New Roman" w:hAnsi="Times New Roman" w:cs="Times New Roman"/>
          <w:lang w:val="es-MX"/>
        </w:rPr>
        <w:t xml:space="preserve">; mientras que, </w:t>
      </w:r>
      <w:r>
        <w:rPr>
          <w:rFonts w:ascii="Times New Roman" w:hAnsi="Times New Roman" w:cs="Times New Roman"/>
          <w:lang w:val="es-MX"/>
        </w:rPr>
        <w:t>por el lado del caribe</w:t>
      </w:r>
      <w:r w:rsidR="00E9722C">
        <w:rPr>
          <w:rFonts w:ascii="Times New Roman" w:hAnsi="Times New Roman" w:cs="Times New Roman"/>
          <w:lang w:val="es-MX"/>
        </w:rPr>
        <w:t>:</w:t>
      </w:r>
      <w:r>
        <w:rPr>
          <w:rFonts w:ascii="Times New Roman" w:hAnsi="Times New Roman" w:cs="Times New Roman"/>
          <w:lang w:val="es-MX"/>
        </w:rPr>
        <w:t xml:space="preserve"> </w:t>
      </w:r>
      <w:r w:rsidR="00E9722C">
        <w:rPr>
          <w:rFonts w:ascii="Times New Roman" w:hAnsi="Times New Roman" w:cs="Times New Roman"/>
          <w:lang w:val="es-MX"/>
        </w:rPr>
        <w:t>Surinam</w:t>
      </w:r>
      <w:r>
        <w:rPr>
          <w:rFonts w:ascii="Times New Roman" w:hAnsi="Times New Roman" w:cs="Times New Roman"/>
          <w:lang w:val="es-MX"/>
        </w:rPr>
        <w:t xml:space="preserve"> y Trinidad y Tobago.  En conjunto se mantiene la proyección de contracción del PIB regional para 2016 del 0.8%, mayor al 0.5% observado en 2015; en América del Sur se espera una contracción del crecimiento  del 2.1% y en el Caribe una contracción del 0.3%, mientras que en Centroamérica se espera un crecimiento del 3.8%.</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 xml:space="preserve">La dinámica de crecimiento observada refleja factores tanto externos como internos; en el contexto externo, no se espera un repunte significativo de la economía mundial, que mantendrá los bajos niveles de crecimiento que ha mostrado en los últimos años, con una tasa en torno al 2.4%, muy similar a la de 2015.  Las economías desarrolladas se </w:t>
      </w:r>
      <w:r>
        <w:rPr>
          <w:rFonts w:ascii="Times New Roman" w:hAnsi="Times New Roman" w:cs="Times New Roman"/>
          <w:lang w:val="es-MX"/>
        </w:rPr>
        <w:lastRenderedPageBreak/>
        <w:t>desacelerarán este año en 1.8%, mientras que el ritmo de crecimiento de las economías en desarrollo se mantendrá en niveles cercanos al 3.8%.  A esto se adhiere la tendencia a la baja de los precios de los productos básicos.</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b/>
          <w:lang w:val="es-MX"/>
        </w:rPr>
      </w:pPr>
      <w:r>
        <w:rPr>
          <w:rFonts w:ascii="Times New Roman" w:hAnsi="Times New Roman" w:cs="Times New Roman"/>
          <w:lang w:val="es-MX"/>
        </w:rPr>
        <w:t>En cuanto a los factores internos, se resalta el hecho significativo provocado por el proceso de desaceleración de la demanda interna, con caídas de la inversión y el consumo.  La demanda interna refleja importantes disparidades entre países: en Centroamérica el crecimiento del PIB se explica principalmente por el consumo privado, cuya contribución ha deteriorado la inversión, mientras la contribución del consumo público se ha mantenido estable.  En América del Sur, la contribución del consumo privado y de la inversión fue negativa durante todo 2015 y la del consumo no fue significativa, solamente la contribución de las exportaciones netas fue positiva, según la perspectiva de CEPAL.</w:t>
      </w:r>
      <w:r>
        <w:rPr>
          <w:rFonts w:ascii="Times New Roman" w:hAnsi="Times New Roman" w:cs="Times New Roman"/>
          <w:b/>
          <w:lang w:val="es-MX"/>
        </w:rPr>
        <w:t xml:space="preserve"> </w:t>
      </w:r>
    </w:p>
    <w:p w:rsidR="002238D7" w:rsidRDefault="002238D7" w:rsidP="002238D7">
      <w:pPr>
        <w:jc w:val="both"/>
        <w:rPr>
          <w:rFonts w:ascii="Times New Roman" w:hAnsi="Times New Roman" w:cs="Times New Roman"/>
          <w:b/>
          <w:lang w:val="es-MX"/>
        </w:rPr>
      </w:pPr>
    </w:p>
    <w:p w:rsidR="002238D7" w:rsidRPr="00AE4C19" w:rsidRDefault="002238D7" w:rsidP="002238D7">
      <w:pPr>
        <w:jc w:val="both"/>
        <w:rPr>
          <w:rFonts w:ascii="Times New Roman" w:hAnsi="Times New Roman" w:cs="Times New Roman"/>
          <w:lang w:val="es-MX"/>
        </w:rPr>
      </w:pPr>
      <w:r w:rsidRPr="00AE4C19">
        <w:rPr>
          <w:rFonts w:ascii="Times New Roman" w:hAnsi="Times New Roman" w:cs="Times New Roman"/>
          <w:lang w:val="es-MX"/>
        </w:rPr>
        <w:t>En cuanto a los mercados financieros internacionales, iniciaron 2</w:t>
      </w:r>
      <w:r>
        <w:rPr>
          <w:rFonts w:ascii="Times New Roman" w:hAnsi="Times New Roman" w:cs="Times New Roman"/>
          <w:lang w:val="es-MX"/>
        </w:rPr>
        <w:t xml:space="preserve">016 con una </w:t>
      </w:r>
      <w:r w:rsidRPr="00AE4C19">
        <w:rPr>
          <w:rFonts w:ascii="Times New Roman" w:hAnsi="Times New Roman" w:cs="Times New Roman"/>
          <w:lang w:val="es-MX"/>
        </w:rPr>
        <w:t xml:space="preserve">volatilidad marcada; si bien </w:t>
      </w:r>
      <w:r>
        <w:rPr>
          <w:rFonts w:ascii="Times New Roman" w:hAnsi="Times New Roman" w:cs="Times New Roman"/>
          <w:lang w:val="es-MX"/>
        </w:rPr>
        <w:t>dicha volatilidad</w:t>
      </w:r>
      <w:r w:rsidRPr="00AE4C19">
        <w:rPr>
          <w:rFonts w:ascii="Times New Roman" w:hAnsi="Times New Roman" w:cs="Times New Roman"/>
          <w:lang w:val="es-MX"/>
        </w:rPr>
        <w:t xml:space="preserve"> se ha ido mitigando </w:t>
      </w:r>
      <w:r>
        <w:rPr>
          <w:rFonts w:ascii="Times New Roman" w:hAnsi="Times New Roman" w:cs="Times New Roman"/>
          <w:lang w:val="es-MX"/>
        </w:rPr>
        <w:t xml:space="preserve">a lo largo del </w:t>
      </w:r>
      <w:r w:rsidRPr="00AE4C19">
        <w:rPr>
          <w:rFonts w:ascii="Times New Roman" w:hAnsi="Times New Roman" w:cs="Times New Roman"/>
          <w:lang w:val="es-MX"/>
        </w:rPr>
        <w:t>primer semestre, se espera que durante el año la volat</w:t>
      </w:r>
      <w:r>
        <w:rPr>
          <w:rFonts w:ascii="Times New Roman" w:hAnsi="Times New Roman" w:cs="Times New Roman"/>
          <w:lang w:val="es-MX"/>
        </w:rPr>
        <w:t>ilidad sea elevada. A esto</w:t>
      </w:r>
      <w:r w:rsidRPr="00AE4C19">
        <w:rPr>
          <w:rFonts w:ascii="Times New Roman" w:hAnsi="Times New Roman" w:cs="Times New Roman"/>
          <w:lang w:val="es-MX"/>
        </w:rPr>
        <w:t xml:space="preserve">, </w:t>
      </w:r>
      <w:r>
        <w:rPr>
          <w:rFonts w:ascii="Times New Roman" w:hAnsi="Times New Roman" w:cs="Times New Roman"/>
          <w:lang w:val="es-MX"/>
        </w:rPr>
        <w:t>debe adicionarse la contribución provocada por</w:t>
      </w:r>
      <w:r w:rsidRPr="00AE4C19">
        <w:rPr>
          <w:rFonts w:ascii="Times New Roman" w:hAnsi="Times New Roman" w:cs="Times New Roman"/>
          <w:lang w:val="es-MX"/>
        </w:rPr>
        <w:t xml:space="preserve"> la salida </w:t>
      </w:r>
      <w:r>
        <w:rPr>
          <w:rFonts w:ascii="Times New Roman" w:hAnsi="Times New Roman" w:cs="Times New Roman"/>
          <w:lang w:val="es-MX"/>
        </w:rPr>
        <w:t xml:space="preserve">de Reino Unido de la </w:t>
      </w:r>
      <w:r w:rsidRPr="00AE4C19">
        <w:rPr>
          <w:rFonts w:ascii="Times New Roman" w:hAnsi="Times New Roman" w:cs="Times New Roman"/>
          <w:lang w:val="es-MX"/>
        </w:rPr>
        <w:t xml:space="preserve">Unión Europea y la incertidumbre sobre el crecimiento económico. </w:t>
      </w:r>
      <w:r>
        <w:rPr>
          <w:rFonts w:ascii="Times New Roman" w:hAnsi="Times New Roman" w:cs="Times New Roman"/>
          <w:lang w:val="es-MX"/>
        </w:rPr>
        <w:t xml:space="preserve">Una mayor aversión al riesgo en </w:t>
      </w:r>
      <w:r w:rsidRPr="00AE4C19">
        <w:rPr>
          <w:rFonts w:ascii="Times New Roman" w:hAnsi="Times New Roman" w:cs="Times New Roman"/>
          <w:lang w:val="es-MX"/>
        </w:rPr>
        <w:t>la economía mundial tendería a reducir la disponibil</w:t>
      </w:r>
      <w:r>
        <w:rPr>
          <w:rFonts w:ascii="Times New Roman" w:hAnsi="Times New Roman" w:cs="Times New Roman"/>
          <w:lang w:val="es-MX"/>
        </w:rPr>
        <w:t xml:space="preserve">idad de financiamiento para los </w:t>
      </w:r>
      <w:r w:rsidRPr="00AE4C19">
        <w:rPr>
          <w:rFonts w:ascii="Times New Roman" w:hAnsi="Times New Roman" w:cs="Times New Roman"/>
          <w:lang w:val="es-MX"/>
        </w:rPr>
        <w:t>mercados emergentes, incluida la región de América Latina y el Caribe.</w:t>
      </w:r>
    </w:p>
    <w:p w:rsidR="002238D7" w:rsidRPr="00082DC7" w:rsidRDefault="00F96600" w:rsidP="00082DC7">
      <w:pPr>
        <w:pStyle w:val="Ttulo2"/>
        <w:rPr>
          <w:rFonts w:ascii="Times New Roman" w:hAnsi="Times New Roman" w:cs="Times New Roman"/>
          <w:color w:val="auto"/>
          <w:sz w:val="24"/>
        </w:rPr>
      </w:pPr>
      <w:bookmarkStart w:id="6" w:name="_Toc457550822"/>
      <w:r w:rsidRPr="00082DC7">
        <w:rPr>
          <w:rFonts w:ascii="Times New Roman" w:hAnsi="Times New Roman" w:cs="Times New Roman"/>
          <w:color w:val="auto"/>
          <w:sz w:val="24"/>
        </w:rPr>
        <w:t xml:space="preserve">1.4  </w:t>
      </w:r>
      <w:r w:rsidR="002238D7" w:rsidRPr="00082DC7">
        <w:rPr>
          <w:rFonts w:ascii="Times New Roman" w:hAnsi="Times New Roman" w:cs="Times New Roman"/>
          <w:color w:val="auto"/>
          <w:sz w:val="24"/>
        </w:rPr>
        <w:t>Calificaciones para los países de la Región</w:t>
      </w:r>
      <w:bookmarkEnd w:id="6"/>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Las agencias calificadoras de riesgo Fitch Rating, Standard &amp; Poor´s y Moody´s Investor revisaron las calificaciones y perspectivas de riesgo de Guatemala, El Salvador, Honduras y República Dominicana en el segundo trimestre 2016.</w:t>
      </w:r>
    </w:p>
    <w:p w:rsidR="002238D7" w:rsidRDefault="002238D7" w:rsidP="002238D7">
      <w:pPr>
        <w:jc w:val="both"/>
        <w:rPr>
          <w:rFonts w:ascii="Times New Roman" w:hAnsi="Times New Roman" w:cs="Times New Roman"/>
          <w:lang w:val="es-MX"/>
        </w:rPr>
      </w:pPr>
    </w:p>
    <w:p w:rsidR="002238D7" w:rsidRPr="00082DC7" w:rsidRDefault="002238D7" w:rsidP="002238D7">
      <w:pPr>
        <w:pStyle w:val="Prrafodelista"/>
        <w:numPr>
          <w:ilvl w:val="0"/>
          <w:numId w:val="26"/>
        </w:numPr>
        <w:jc w:val="both"/>
        <w:rPr>
          <w:rFonts w:ascii="Times New Roman" w:hAnsi="Times New Roman" w:cs="Times New Roman"/>
          <w:sz w:val="24"/>
          <w:lang w:val="es-MX"/>
        </w:rPr>
      </w:pPr>
      <w:r w:rsidRPr="00082DC7">
        <w:rPr>
          <w:rFonts w:ascii="Times New Roman" w:hAnsi="Times New Roman" w:cs="Times New Roman"/>
          <w:sz w:val="24"/>
          <w:lang w:val="es-MX"/>
        </w:rPr>
        <w:t>Fitch Rating confirmó la calificación de riesgo de Guatemala en BB con perspectiva estable, sustentando dicha calificación en la solidez macroeconómica que ha mostrado el país; también confirmó la calificación de deuda de El Salvador en B+ con perspectiva estable.</w:t>
      </w:r>
    </w:p>
    <w:p w:rsidR="002238D7" w:rsidRPr="00082DC7" w:rsidRDefault="002238D7" w:rsidP="002238D7">
      <w:pPr>
        <w:pStyle w:val="Prrafodelista"/>
        <w:numPr>
          <w:ilvl w:val="0"/>
          <w:numId w:val="26"/>
        </w:numPr>
        <w:jc w:val="both"/>
        <w:rPr>
          <w:rFonts w:ascii="Times New Roman" w:hAnsi="Times New Roman" w:cs="Times New Roman"/>
          <w:sz w:val="24"/>
          <w:lang w:val="es-MX"/>
        </w:rPr>
      </w:pPr>
      <w:r w:rsidRPr="00082DC7">
        <w:rPr>
          <w:rFonts w:ascii="Times New Roman" w:hAnsi="Times New Roman" w:cs="Times New Roman"/>
          <w:sz w:val="24"/>
          <w:lang w:val="es-MX"/>
        </w:rPr>
        <w:t>Standard &amp; Poor´s mejoró la perspectiva de la calificación riesgo a Honduras, de estable a positiva y mantuvo la calificación en B+, reflejando de esta manera la mejoría fiscal que está mostrando el país.</w:t>
      </w:r>
    </w:p>
    <w:p w:rsidR="002238D7" w:rsidRPr="00082DC7" w:rsidRDefault="002238D7" w:rsidP="002238D7">
      <w:pPr>
        <w:pStyle w:val="Prrafodelista"/>
        <w:numPr>
          <w:ilvl w:val="0"/>
          <w:numId w:val="26"/>
        </w:numPr>
        <w:jc w:val="both"/>
        <w:rPr>
          <w:rFonts w:ascii="Times New Roman" w:hAnsi="Times New Roman" w:cs="Times New Roman"/>
          <w:sz w:val="24"/>
          <w:lang w:val="es-MX"/>
        </w:rPr>
      </w:pPr>
      <w:r w:rsidRPr="00082DC7">
        <w:rPr>
          <w:rFonts w:ascii="Times New Roman" w:hAnsi="Times New Roman" w:cs="Times New Roman"/>
          <w:sz w:val="24"/>
          <w:lang w:val="es-MX"/>
        </w:rPr>
        <w:t xml:space="preserve">Moody´s Investor modificó la perspectiva de riesgo de Guatemala de negativa a estable y confirmó la calificación en Ba1, en base al buen perfil crediticio que muestra el país.  La agencia modificó la calificación de la deuda soberana de Honduras de B3 a B2 y mantuvo su perspectiva positiva;  </w:t>
      </w:r>
      <w:r w:rsidR="00082DC7" w:rsidRPr="00082DC7">
        <w:rPr>
          <w:rFonts w:ascii="Times New Roman" w:hAnsi="Times New Roman" w:cs="Times New Roman"/>
          <w:sz w:val="24"/>
          <w:lang w:val="es-MX"/>
        </w:rPr>
        <w:t>así</w:t>
      </w:r>
      <w:r w:rsidRPr="00082DC7">
        <w:rPr>
          <w:rFonts w:ascii="Times New Roman" w:hAnsi="Times New Roman" w:cs="Times New Roman"/>
          <w:sz w:val="24"/>
          <w:lang w:val="es-MX"/>
        </w:rPr>
        <w:t xml:space="preserve"> mismo, modificó la perspectiva de la calificación soberana de República Dominicana de estable positiva y confirmó la calificación en B1.</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Las agencias calificadoras coincidieron en la necesidad de mejorar el financiamiento del gobierno y controlar los resultados fiscales de cuenta corriente en los países de la región.</w:t>
      </w:r>
    </w:p>
    <w:p w:rsidR="002238D7" w:rsidRPr="00082DC7" w:rsidRDefault="002238D7" w:rsidP="002238D7">
      <w:pPr>
        <w:jc w:val="center"/>
        <w:rPr>
          <w:rFonts w:ascii="Times New Roman" w:hAnsi="Times New Roman" w:cs="Times New Roman"/>
          <w:b/>
          <w:lang w:val="es-MX"/>
        </w:rPr>
      </w:pPr>
      <w:r w:rsidRPr="00082DC7">
        <w:rPr>
          <w:rFonts w:ascii="Times New Roman" w:hAnsi="Times New Roman" w:cs="Times New Roman"/>
          <w:b/>
          <w:lang w:val="es-MX"/>
        </w:rPr>
        <w:lastRenderedPageBreak/>
        <w:t>Calificación de deuda soberana de largo plazo en moneda extranjera</w:t>
      </w:r>
    </w:p>
    <w:p w:rsidR="002238D7" w:rsidRPr="00082DC7" w:rsidRDefault="002238D7" w:rsidP="002238D7">
      <w:pPr>
        <w:jc w:val="center"/>
        <w:rPr>
          <w:rFonts w:ascii="Times New Roman" w:hAnsi="Times New Roman" w:cs="Times New Roman"/>
          <w:b/>
          <w:lang w:val="es-MX"/>
        </w:rPr>
      </w:pPr>
      <w:r w:rsidRPr="00082DC7">
        <w:rPr>
          <w:rFonts w:ascii="Times New Roman" w:hAnsi="Times New Roman" w:cs="Times New Roman"/>
          <w:b/>
          <w:lang w:val="es-MX"/>
        </w:rPr>
        <w:t>Región Centroamericana y República Dominicana</w:t>
      </w:r>
    </w:p>
    <w:p w:rsidR="002238D7" w:rsidRPr="00082DC7" w:rsidRDefault="002238D7" w:rsidP="002238D7">
      <w:pPr>
        <w:jc w:val="center"/>
        <w:rPr>
          <w:rFonts w:ascii="Times New Roman" w:hAnsi="Times New Roman" w:cs="Times New Roman"/>
          <w:sz w:val="22"/>
          <w:lang w:val="es-MX"/>
        </w:rPr>
      </w:pPr>
      <w:r w:rsidRPr="00082DC7">
        <w:rPr>
          <w:rFonts w:ascii="Times New Roman" w:hAnsi="Times New Roman" w:cs="Times New Roman"/>
          <w:sz w:val="22"/>
          <w:lang w:val="es-MX"/>
        </w:rPr>
        <w:t>Primer semestre 2016</w:t>
      </w:r>
    </w:p>
    <w:tbl>
      <w:tblPr>
        <w:tblStyle w:val="Tablaconcuadrcula"/>
        <w:tblW w:w="0" w:type="auto"/>
        <w:tblLook w:val="04A0" w:firstRow="1" w:lastRow="0" w:firstColumn="1" w:lastColumn="0" w:noHBand="0" w:noVBand="1"/>
      </w:tblPr>
      <w:tblGrid>
        <w:gridCol w:w="931"/>
        <w:gridCol w:w="1089"/>
        <w:gridCol w:w="1030"/>
        <w:gridCol w:w="911"/>
        <w:gridCol w:w="966"/>
        <w:gridCol w:w="961"/>
        <w:gridCol w:w="923"/>
        <w:gridCol w:w="1037"/>
        <w:gridCol w:w="980"/>
      </w:tblGrid>
      <w:tr w:rsidR="002238D7" w:rsidRPr="002238D7" w:rsidTr="002238D7">
        <w:tc>
          <w:tcPr>
            <w:tcW w:w="1207" w:type="dxa"/>
            <w:tcBorders>
              <w:bottom w:val="single" w:sz="4" w:space="0" w:color="auto"/>
            </w:tcBorders>
            <w:shd w:val="clear" w:color="auto" w:fill="8DB3E2" w:themeFill="text2" w:themeFillTint="66"/>
            <w:vAlign w:val="center"/>
          </w:tcPr>
          <w:p w:rsidR="002238D7" w:rsidRPr="002238D7" w:rsidRDefault="002238D7" w:rsidP="002238D7">
            <w:pPr>
              <w:jc w:val="center"/>
              <w:rPr>
                <w:rFonts w:ascii="Times New Roman" w:hAnsi="Times New Roman" w:cs="Times New Roman"/>
                <w:sz w:val="18"/>
                <w:lang w:val="es-MX"/>
              </w:rPr>
            </w:pPr>
          </w:p>
        </w:tc>
        <w:tc>
          <w:tcPr>
            <w:tcW w:w="1096"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992"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6"/>
                <w:szCs w:val="19"/>
                <w:lang w:val="es-MX"/>
              </w:rPr>
            </w:pPr>
            <w:r w:rsidRPr="002238D7">
              <w:rPr>
                <w:rFonts w:ascii="Times New Roman" w:hAnsi="Times New Roman" w:cs="Times New Roman"/>
                <w:b/>
                <w:sz w:val="16"/>
                <w:szCs w:val="19"/>
                <w:lang w:val="es-MX"/>
              </w:rPr>
              <w:t>Costa Rica</w:t>
            </w:r>
          </w:p>
        </w:tc>
        <w:tc>
          <w:tcPr>
            <w:tcW w:w="1024"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6"/>
                <w:szCs w:val="19"/>
                <w:lang w:val="es-MX"/>
              </w:rPr>
            </w:pPr>
            <w:r w:rsidRPr="002238D7">
              <w:rPr>
                <w:rFonts w:ascii="Times New Roman" w:hAnsi="Times New Roman" w:cs="Times New Roman"/>
                <w:b/>
                <w:sz w:val="16"/>
                <w:szCs w:val="19"/>
                <w:lang w:val="es-MX"/>
              </w:rPr>
              <w:t>El Salvador</w:t>
            </w:r>
          </w:p>
        </w:tc>
        <w:tc>
          <w:tcPr>
            <w:tcW w:w="1066"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6"/>
                <w:szCs w:val="19"/>
                <w:lang w:val="es-MX"/>
              </w:rPr>
            </w:pPr>
            <w:r w:rsidRPr="002238D7">
              <w:rPr>
                <w:rFonts w:ascii="Times New Roman" w:hAnsi="Times New Roman" w:cs="Times New Roman"/>
                <w:b/>
                <w:sz w:val="16"/>
                <w:szCs w:val="19"/>
                <w:lang w:val="es-MX"/>
              </w:rPr>
              <w:t>Guatemala</w:t>
            </w:r>
          </w:p>
        </w:tc>
        <w:tc>
          <w:tcPr>
            <w:tcW w:w="1034"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6"/>
                <w:szCs w:val="19"/>
                <w:lang w:val="es-MX"/>
              </w:rPr>
            </w:pPr>
            <w:r w:rsidRPr="002238D7">
              <w:rPr>
                <w:rFonts w:ascii="Times New Roman" w:hAnsi="Times New Roman" w:cs="Times New Roman"/>
                <w:b/>
                <w:sz w:val="16"/>
                <w:szCs w:val="19"/>
                <w:lang w:val="es-MX"/>
              </w:rPr>
              <w:t>Honduras</w:t>
            </w:r>
          </w:p>
        </w:tc>
        <w:tc>
          <w:tcPr>
            <w:tcW w:w="1038"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6"/>
                <w:szCs w:val="19"/>
                <w:lang w:val="es-MX"/>
              </w:rPr>
            </w:pPr>
            <w:r w:rsidRPr="002238D7">
              <w:rPr>
                <w:rFonts w:ascii="Times New Roman" w:hAnsi="Times New Roman" w:cs="Times New Roman"/>
                <w:b/>
                <w:sz w:val="16"/>
                <w:szCs w:val="19"/>
                <w:lang w:val="es-MX"/>
              </w:rPr>
              <w:t>Nicaragua</w:t>
            </w:r>
          </w:p>
        </w:tc>
        <w:tc>
          <w:tcPr>
            <w:tcW w:w="1147"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6"/>
                <w:szCs w:val="19"/>
                <w:lang w:val="es-MX"/>
              </w:rPr>
            </w:pPr>
            <w:r w:rsidRPr="002238D7">
              <w:rPr>
                <w:rFonts w:ascii="Times New Roman" w:hAnsi="Times New Roman" w:cs="Times New Roman"/>
                <w:b/>
                <w:sz w:val="16"/>
                <w:szCs w:val="19"/>
                <w:lang w:val="es-MX"/>
              </w:rPr>
              <w:t>República Dominicana</w:t>
            </w:r>
          </w:p>
        </w:tc>
        <w:tc>
          <w:tcPr>
            <w:tcW w:w="1016"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6"/>
                <w:szCs w:val="19"/>
                <w:lang w:val="es-MX"/>
              </w:rPr>
            </w:pPr>
            <w:r w:rsidRPr="002238D7">
              <w:rPr>
                <w:rFonts w:ascii="Times New Roman" w:hAnsi="Times New Roman" w:cs="Times New Roman"/>
                <w:b/>
                <w:sz w:val="16"/>
                <w:szCs w:val="19"/>
                <w:lang w:val="es-MX"/>
              </w:rPr>
              <w:t>Panamá</w:t>
            </w:r>
          </w:p>
        </w:tc>
      </w:tr>
      <w:tr w:rsidR="002238D7" w:rsidRPr="002238D7" w:rsidTr="002238D7">
        <w:tc>
          <w:tcPr>
            <w:tcW w:w="1207" w:type="dxa"/>
            <w:shd w:val="clear" w:color="auto" w:fill="8DB3E2" w:themeFill="text2" w:themeFillTint="66"/>
            <w:vAlign w:val="center"/>
          </w:tcPr>
          <w:p w:rsidR="002238D7" w:rsidRPr="002238D7" w:rsidRDefault="002238D7" w:rsidP="002238D7">
            <w:pPr>
              <w:jc w:val="center"/>
              <w:rPr>
                <w:rFonts w:ascii="Times New Roman" w:hAnsi="Times New Roman" w:cs="Times New Roman"/>
                <w:sz w:val="18"/>
                <w:lang w:val="es-MX"/>
              </w:rPr>
            </w:pPr>
          </w:p>
        </w:tc>
        <w:tc>
          <w:tcPr>
            <w:tcW w:w="8413" w:type="dxa"/>
            <w:gridSpan w:val="8"/>
            <w:vAlign w:val="center"/>
          </w:tcPr>
          <w:p w:rsidR="002238D7" w:rsidRPr="002238D7" w:rsidRDefault="002238D7" w:rsidP="002238D7">
            <w:pPr>
              <w:jc w:val="center"/>
              <w:rPr>
                <w:rFonts w:ascii="Times New Roman" w:hAnsi="Times New Roman" w:cs="Times New Roman"/>
                <w:sz w:val="18"/>
                <w:lang w:val="es-MX"/>
              </w:rPr>
            </w:pPr>
          </w:p>
        </w:tc>
      </w:tr>
      <w:tr w:rsidR="002238D7" w:rsidRPr="002238D7" w:rsidTr="002238D7">
        <w:tc>
          <w:tcPr>
            <w:tcW w:w="1207" w:type="dxa"/>
            <w:vMerge w:val="restart"/>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r w:rsidRPr="002238D7">
              <w:rPr>
                <w:rFonts w:ascii="Times New Roman" w:hAnsi="Times New Roman" w:cs="Times New Roman"/>
                <w:b/>
                <w:sz w:val="18"/>
                <w:lang w:val="es-MX"/>
              </w:rPr>
              <w:t>Fitch Ratings</w:t>
            </w:r>
          </w:p>
        </w:tc>
        <w:tc>
          <w:tcPr>
            <w:tcW w:w="1096"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Calificación</w:t>
            </w:r>
          </w:p>
        </w:tc>
        <w:tc>
          <w:tcPr>
            <w:tcW w:w="992"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BB+</w:t>
            </w:r>
          </w:p>
        </w:tc>
        <w:tc>
          <w:tcPr>
            <w:tcW w:w="1024"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w:t>
            </w:r>
          </w:p>
        </w:tc>
        <w:tc>
          <w:tcPr>
            <w:tcW w:w="1066"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BB</w:t>
            </w:r>
          </w:p>
        </w:tc>
        <w:tc>
          <w:tcPr>
            <w:tcW w:w="1034"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No es calificado</w:t>
            </w:r>
          </w:p>
        </w:tc>
        <w:tc>
          <w:tcPr>
            <w:tcW w:w="1038"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w:t>
            </w:r>
          </w:p>
        </w:tc>
        <w:tc>
          <w:tcPr>
            <w:tcW w:w="1147"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w:t>
            </w:r>
          </w:p>
        </w:tc>
        <w:tc>
          <w:tcPr>
            <w:tcW w:w="1016"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BBB</w:t>
            </w:r>
          </w:p>
        </w:tc>
      </w:tr>
      <w:tr w:rsidR="002238D7" w:rsidRPr="002238D7" w:rsidTr="002238D7">
        <w:tc>
          <w:tcPr>
            <w:tcW w:w="1207" w:type="dxa"/>
            <w:vMerge/>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1096"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Perspectiva</w:t>
            </w:r>
          </w:p>
        </w:tc>
        <w:tc>
          <w:tcPr>
            <w:tcW w:w="992"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Negativa</w:t>
            </w:r>
          </w:p>
        </w:tc>
        <w:tc>
          <w:tcPr>
            <w:tcW w:w="1024"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w:t>
            </w:r>
          </w:p>
        </w:tc>
        <w:tc>
          <w:tcPr>
            <w:tcW w:w="1066"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w:t>
            </w:r>
          </w:p>
        </w:tc>
        <w:tc>
          <w:tcPr>
            <w:tcW w:w="1034"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No es calificado</w:t>
            </w:r>
          </w:p>
        </w:tc>
        <w:tc>
          <w:tcPr>
            <w:tcW w:w="1038"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w:t>
            </w:r>
          </w:p>
        </w:tc>
        <w:tc>
          <w:tcPr>
            <w:tcW w:w="1147"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Positivo</w:t>
            </w:r>
          </w:p>
        </w:tc>
        <w:tc>
          <w:tcPr>
            <w:tcW w:w="1016"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w:t>
            </w:r>
          </w:p>
        </w:tc>
      </w:tr>
      <w:tr w:rsidR="002238D7" w:rsidRPr="002238D7" w:rsidTr="002238D7">
        <w:tc>
          <w:tcPr>
            <w:tcW w:w="1207"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8413" w:type="dxa"/>
            <w:gridSpan w:val="8"/>
            <w:vAlign w:val="center"/>
          </w:tcPr>
          <w:p w:rsidR="002238D7" w:rsidRPr="002238D7" w:rsidRDefault="002238D7" w:rsidP="002238D7">
            <w:pPr>
              <w:jc w:val="center"/>
              <w:rPr>
                <w:rFonts w:ascii="Times New Roman" w:hAnsi="Times New Roman" w:cs="Times New Roman"/>
                <w:sz w:val="18"/>
                <w:lang w:val="es-MX"/>
              </w:rPr>
            </w:pPr>
          </w:p>
        </w:tc>
      </w:tr>
      <w:tr w:rsidR="002238D7" w:rsidRPr="002238D7" w:rsidTr="002238D7">
        <w:trPr>
          <w:trHeight w:val="437"/>
        </w:trPr>
        <w:tc>
          <w:tcPr>
            <w:tcW w:w="1207" w:type="dxa"/>
            <w:vMerge w:val="restart"/>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r w:rsidRPr="002238D7">
              <w:rPr>
                <w:rFonts w:ascii="Times New Roman" w:hAnsi="Times New Roman" w:cs="Times New Roman"/>
                <w:b/>
                <w:sz w:val="18"/>
                <w:lang w:val="es-MX"/>
              </w:rPr>
              <w:t>Moody´s Investor</w:t>
            </w:r>
          </w:p>
        </w:tc>
        <w:tc>
          <w:tcPr>
            <w:tcW w:w="1096"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Calificación</w:t>
            </w:r>
          </w:p>
        </w:tc>
        <w:tc>
          <w:tcPr>
            <w:tcW w:w="992"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Ba1</w:t>
            </w:r>
          </w:p>
        </w:tc>
        <w:tc>
          <w:tcPr>
            <w:tcW w:w="1024"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Ba3</w:t>
            </w:r>
          </w:p>
        </w:tc>
        <w:tc>
          <w:tcPr>
            <w:tcW w:w="1066"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Ba1</w:t>
            </w:r>
          </w:p>
        </w:tc>
        <w:tc>
          <w:tcPr>
            <w:tcW w:w="1034"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B2</w:t>
            </w:r>
          </w:p>
        </w:tc>
        <w:tc>
          <w:tcPr>
            <w:tcW w:w="1038"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B2</w:t>
            </w:r>
          </w:p>
        </w:tc>
        <w:tc>
          <w:tcPr>
            <w:tcW w:w="1147"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B1</w:t>
            </w:r>
          </w:p>
        </w:tc>
        <w:tc>
          <w:tcPr>
            <w:tcW w:w="1016"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Baa2</w:t>
            </w:r>
          </w:p>
        </w:tc>
      </w:tr>
      <w:tr w:rsidR="002238D7" w:rsidRPr="002238D7" w:rsidTr="002238D7">
        <w:trPr>
          <w:trHeight w:val="415"/>
        </w:trPr>
        <w:tc>
          <w:tcPr>
            <w:tcW w:w="1207" w:type="dxa"/>
            <w:vMerge/>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1096"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Perspectiva</w:t>
            </w:r>
          </w:p>
        </w:tc>
        <w:tc>
          <w:tcPr>
            <w:tcW w:w="992"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Negativa</w:t>
            </w:r>
          </w:p>
        </w:tc>
        <w:tc>
          <w:tcPr>
            <w:tcW w:w="1024"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Negativa</w:t>
            </w:r>
          </w:p>
        </w:tc>
        <w:tc>
          <w:tcPr>
            <w:tcW w:w="1066"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w:t>
            </w:r>
          </w:p>
        </w:tc>
        <w:tc>
          <w:tcPr>
            <w:tcW w:w="1034"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Positiva</w:t>
            </w:r>
          </w:p>
        </w:tc>
        <w:tc>
          <w:tcPr>
            <w:tcW w:w="1038"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w:t>
            </w:r>
          </w:p>
        </w:tc>
        <w:tc>
          <w:tcPr>
            <w:tcW w:w="1147"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Positiva</w:t>
            </w:r>
          </w:p>
        </w:tc>
        <w:tc>
          <w:tcPr>
            <w:tcW w:w="1016"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w:t>
            </w:r>
          </w:p>
        </w:tc>
      </w:tr>
      <w:tr w:rsidR="002238D7" w:rsidRPr="002238D7" w:rsidTr="002238D7">
        <w:tc>
          <w:tcPr>
            <w:tcW w:w="1207"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8413" w:type="dxa"/>
            <w:gridSpan w:val="8"/>
            <w:vAlign w:val="center"/>
          </w:tcPr>
          <w:p w:rsidR="002238D7" w:rsidRPr="002238D7" w:rsidRDefault="002238D7" w:rsidP="002238D7">
            <w:pPr>
              <w:jc w:val="center"/>
              <w:rPr>
                <w:rFonts w:ascii="Times New Roman" w:hAnsi="Times New Roman" w:cs="Times New Roman"/>
                <w:sz w:val="18"/>
                <w:lang w:val="es-MX"/>
              </w:rPr>
            </w:pPr>
          </w:p>
        </w:tc>
      </w:tr>
      <w:tr w:rsidR="002238D7" w:rsidRPr="002238D7" w:rsidTr="002238D7">
        <w:trPr>
          <w:trHeight w:val="507"/>
        </w:trPr>
        <w:tc>
          <w:tcPr>
            <w:tcW w:w="1207" w:type="dxa"/>
            <w:vMerge w:val="restart"/>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r w:rsidRPr="002238D7">
              <w:rPr>
                <w:rFonts w:ascii="Times New Roman" w:hAnsi="Times New Roman" w:cs="Times New Roman"/>
                <w:b/>
                <w:sz w:val="18"/>
                <w:lang w:val="es-MX"/>
              </w:rPr>
              <w:t>Standard &amp; Poor´s</w:t>
            </w:r>
          </w:p>
        </w:tc>
        <w:tc>
          <w:tcPr>
            <w:tcW w:w="1096"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Calificación</w:t>
            </w:r>
          </w:p>
        </w:tc>
        <w:tc>
          <w:tcPr>
            <w:tcW w:w="992"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BB-</w:t>
            </w:r>
          </w:p>
        </w:tc>
        <w:tc>
          <w:tcPr>
            <w:tcW w:w="1024"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w:t>
            </w:r>
          </w:p>
        </w:tc>
        <w:tc>
          <w:tcPr>
            <w:tcW w:w="1066"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BB</w:t>
            </w:r>
          </w:p>
        </w:tc>
        <w:tc>
          <w:tcPr>
            <w:tcW w:w="1034"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w:t>
            </w:r>
          </w:p>
        </w:tc>
        <w:tc>
          <w:tcPr>
            <w:tcW w:w="1038"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w:t>
            </w:r>
          </w:p>
        </w:tc>
        <w:tc>
          <w:tcPr>
            <w:tcW w:w="1147"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BB-</w:t>
            </w:r>
          </w:p>
        </w:tc>
        <w:tc>
          <w:tcPr>
            <w:tcW w:w="1016" w:type="dxa"/>
            <w:shd w:val="clear" w:color="auto" w:fill="D9D9D9" w:themeFill="background1" w:themeFillShade="D9"/>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BBB</w:t>
            </w:r>
          </w:p>
        </w:tc>
      </w:tr>
      <w:tr w:rsidR="002238D7" w:rsidRPr="002238D7" w:rsidTr="002238D7">
        <w:tc>
          <w:tcPr>
            <w:tcW w:w="1207" w:type="dxa"/>
            <w:vMerge/>
            <w:shd w:val="clear" w:color="auto" w:fill="8DB3E2" w:themeFill="text2" w:themeFillTint="66"/>
            <w:vAlign w:val="center"/>
          </w:tcPr>
          <w:p w:rsidR="002238D7" w:rsidRPr="002238D7" w:rsidRDefault="002238D7" w:rsidP="002238D7">
            <w:pPr>
              <w:jc w:val="center"/>
              <w:rPr>
                <w:rFonts w:ascii="Times New Roman" w:hAnsi="Times New Roman" w:cs="Times New Roman"/>
                <w:sz w:val="18"/>
                <w:lang w:val="es-MX"/>
              </w:rPr>
            </w:pPr>
          </w:p>
        </w:tc>
        <w:tc>
          <w:tcPr>
            <w:tcW w:w="1096"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Perspectiva</w:t>
            </w:r>
          </w:p>
        </w:tc>
        <w:tc>
          <w:tcPr>
            <w:tcW w:w="992"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Negativa/B</w:t>
            </w:r>
          </w:p>
        </w:tc>
        <w:tc>
          <w:tcPr>
            <w:tcW w:w="1024"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Estable/B</w:t>
            </w:r>
          </w:p>
        </w:tc>
        <w:tc>
          <w:tcPr>
            <w:tcW w:w="1066"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Estable/B</w:t>
            </w:r>
          </w:p>
        </w:tc>
        <w:tc>
          <w:tcPr>
            <w:tcW w:w="1034"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Positiva/B</w:t>
            </w:r>
          </w:p>
        </w:tc>
        <w:tc>
          <w:tcPr>
            <w:tcW w:w="1038"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Estable/B</w:t>
            </w:r>
          </w:p>
        </w:tc>
        <w:tc>
          <w:tcPr>
            <w:tcW w:w="1147"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Estable/B</w:t>
            </w:r>
          </w:p>
        </w:tc>
        <w:tc>
          <w:tcPr>
            <w:tcW w:w="1016" w:type="dxa"/>
            <w:vAlign w:val="center"/>
          </w:tcPr>
          <w:p w:rsidR="002238D7" w:rsidRPr="002238D7" w:rsidRDefault="002238D7" w:rsidP="002238D7">
            <w:pPr>
              <w:jc w:val="center"/>
              <w:rPr>
                <w:rFonts w:ascii="Times New Roman" w:hAnsi="Times New Roman" w:cs="Times New Roman"/>
                <w:sz w:val="18"/>
                <w:lang w:val="es-MX"/>
              </w:rPr>
            </w:pPr>
            <w:r w:rsidRPr="002238D7">
              <w:rPr>
                <w:rFonts w:ascii="Times New Roman" w:hAnsi="Times New Roman" w:cs="Times New Roman"/>
                <w:sz w:val="18"/>
                <w:lang w:val="es-MX"/>
              </w:rPr>
              <w:t>Estable/A-2</w:t>
            </w:r>
          </w:p>
        </w:tc>
      </w:tr>
      <w:tr w:rsidR="002238D7" w:rsidRPr="002238D7" w:rsidTr="002238D7">
        <w:tc>
          <w:tcPr>
            <w:tcW w:w="1207" w:type="dxa"/>
            <w:shd w:val="clear" w:color="auto" w:fill="8DB3E2" w:themeFill="text2" w:themeFillTint="66"/>
            <w:vAlign w:val="center"/>
          </w:tcPr>
          <w:p w:rsidR="002238D7" w:rsidRPr="002238D7" w:rsidRDefault="002238D7" w:rsidP="002238D7">
            <w:pPr>
              <w:jc w:val="center"/>
              <w:rPr>
                <w:rFonts w:ascii="Times New Roman" w:hAnsi="Times New Roman" w:cs="Times New Roman"/>
                <w:sz w:val="18"/>
                <w:lang w:val="es-MX"/>
              </w:rPr>
            </w:pPr>
          </w:p>
        </w:tc>
        <w:tc>
          <w:tcPr>
            <w:tcW w:w="8413" w:type="dxa"/>
            <w:gridSpan w:val="8"/>
            <w:vAlign w:val="center"/>
          </w:tcPr>
          <w:p w:rsidR="002238D7" w:rsidRPr="002238D7" w:rsidRDefault="002238D7" w:rsidP="002238D7">
            <w:pPr>
              <w:jc w:val="center"/>
              <w:rPr>
                <w:rFonts w:ascii="Times New Roman" w:hAnsi="Times New Roman" w:cs="Times New Roman"/>
                <w:sz w:val="18"/>
                <w:lang w:val="es-MX"/>
              </w:rPr>
            </w:pPr>
          </w:p>
        </w:tc>
      </w:tr>
    </w:tbl>
    <w:p w:rsidR="002238D7" w:rsidRPr="00082DC7" w:rsidRDefault="002238D7" w:rsidP="002238D7">
      <w:pPr>
        <w:jc w:val="both"/>
        <w:rPr>
          <w:rFonts w:ascii="Times New Roman" w:hAnsi="Times New Roman" w:cs="Times New Roman"/>
          <w:sz w:val="16"/>
          <w:lang w:val="es-MX"/>
        </w:rPr>
      </w:pPr>
      <w:r w:rsidRPr="00994DBB">
        <w:rPr>
          <w:rFonts w:ascii="Times New Roman" w:hAnsi="Times New Roman" w:cs="Times New Roman"/>
          <w:sz w:val="16"/>
          <w:lang w:val="es-MX"/>
        </w:rPr>
        <w:t>Fuente: Consejo Monetario Centroamericano; www.fitchratings.com;</w:t>
      </w:r>
      <w:r w:rsidR="00082DC7">
        <w:rPr>
          <w:rFonts w:ascii="Times New Roman" w:hAnsi="Times New Roman" w:cs="Times New Roman"/>
          <w:sz w:val="16"/>
          <w:lang w:val="es-MX"/>
        </w:rPr>
        <w:t>moodys.com;standardandpoors.com</w:t>
      </w:r>
    </w:p>
    <w:p w:rsidR="002238D7" w:rsidRPr="00082DC7" w:rsidRDefault="00F96600" w:rsidP="00082DC7">
      <w:pPr>
        <w:pStyle w:val="Ttulo2"/>
        <w:rPr>
          <w:rFonts w:ascii="Times New Roman" w:hAnsi="Times New Roman" w:cs="Times New Roman"/>
          <w:color w:val="auto"/>
          <w:sz w:val="24"/>
        </w:rPr>
      </w:pPr>
      <w:bookmarkStart w:id="7" w:name="_Toc457550823"/>
      <w:r w:rsidRPr="00082DC7">
        <w:rPr>
          <w:rFonts w:ascii="Times New Roman" w:hAnsi="Times New Roman" w:cs="Times New Roman"/>
          <w:color w:val="auto"/>
          <w:sz w:val="24"/>
        </w:rPr>
        <w:t xml:space="preserve">1.5  </w:t>
      </w:r>
      <w:r w:rsidR="002238D7" w:rsidRPr="00082DC7">
        <w:rPr>
          <w:rFonts w:ascii="Times New Roman" w:hAnsi="Times New Roman" w:cs="Times New Roman"/>
          <w:color w:val="auto"/>
          <w:sz w:val="24"/>
        </w:rPr>
        <w:t>Entorno macroeconómico Nacional</w:t>
      </w:r>
      <w:bookmarkEnd w:id="7"/>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 xml:space="preserve">La actividad económica continúa siendo impulsada principalmente por el desempeño positivo que a lo largo del primer semestre del año ha mostrado el gasto de consumo privado </w:t>
      </w:r>
      <w:r w:rsidR="00F96600">
        <w:rPr>
          <w:rFonts w:ascii="Times New Roman" w:hAnsi="Times New Roman" w:cs="Times New Roman"/>
          <w:lang w:val="es-MX"/>
        </w:rPr>
        <w:t xml:space="preserve">pero en una menor escala </w:t>
      </w:r>
      <w:r>
        <w:rPr>
          <w:rFonts w:ascii="Times New Roman" w:hAnsi="Times New Roman" w:cs="Times New Roman"/>
          <w:lang w:val="es-MX"/>
        </w:rPr>
        <w:t xml:space="preserve">la formación bruta de capital fijo; los datos preliminares del primer trimestre ubican el crecimiento del PIB real en 2.8%.  El PIB medido por el origen de la producción se caracterizó por el comportamiento positivo que registraron la mayoría de actividades económicas, entre las que destacan la intermediación financiera, seguros y actividades auxiliares con 12.6%; Servicios privados con 3.2%; actividades que en conjunto representan alrededor del 81% de la tasa de crecimiento de dicho indicador.  Se espera que la economía continúe creciendo, tal como lo confirma el crecimiento del IMAE, remesas familiares, crédito al sector privado y mayor número de cotizantes al IGSS.  </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Es relevante mencionar que la variación interanual de la actividad económica medida a través del IMAE se ubicó en mayo 3.6%, mientras que el mismo mes del año anterior dicho crecimiento era inferior en 0.1%, lo que confirma que la actividad económica está evolucionando conforme el rango previsto para finales de año, de entre 3.1% y 3.9%.  El crecimiento se explica por el dinamismo de las actividades de la Industria manufacturera; Comercio al por mayor y al por menor; Servicios privados; transporte, almacenamiento y comunicaciones principalmente.  Al desestimar la estacionalidad, se registró una variación de 1.1% en mayo respecto al mes anterior y la tendencia ciclo registró una tasa de crecimiento interanual de 2.7%, menos dinámica que el mismo mes del año anterior, según el informe del Banco de Guatemala.</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p>
    <w:p w:rsidR="002238D7" w:rsidRPr="00082DC7" w:rsidRDefault="002238D7" w:rsidP="002238D7">
      <w:pPr>
        <w:jc w:val="center"/>
        <w:rPr>
          <w:rFonts w:ascii="Times New Roman" w:hAnsi="Times New Roman" w:cs="Times New Roman"/>
          <w:b/>
          <w:lang w:val="es-MX"/>
        </w:rPr>
      </w:pPr>
      <w:r w:rsidRPr="00082DC7">
        <w:rPr>
          <w:rFonts w:ascii="Times New Roman" w:hAnsi="Times New Roman" w:cs="Times New Roman"/>
          <w:b/>
          <w:lang w:val="es-MX"/>
        </w:rPr>
        <w:t>Índice Mensual de la Actividad Económica</w:t>
      </w:r>
    </w:p>
    <w:p w:rsidR="002238D7" w:rsidRPr="00082DC7" w:rsidRDefault="002238D7" w:rsidP="002238D7">
      <w:pPr>
        <w:jc w:val="center"/>
        <w:rPr>
          <w:rFonts w:ascii="Times New Roman" w:hAnsi="Times New Roman" w:cs="Times New Roman"/>
          <w:b/>
          <w:sz w:val="22"/>
          <w:lang w:val="es-MX"/>
        </w:rPr>
      </w:pPr>
      <w:r w:rsidRPr="00082DC7">
        <w:rPr>
          <w:rFonts w:ascii="Times New Roman" w:hAnsi="Times New Roman" w:cs="Times New Roman"/>
          <w:b/>
          <w:sz w:val="22"/>
          <w:lang w:val="es-MX"/>
        </w:rPr>
        <w:t>Variaciones porcentuales Interanuales e Intermensuales</w:t>
      </w:r>
    </w:p>
    <w:p w:rsidR="002238D7" w:rsidRPr="00082DC7" w:rsidRDefault="002238D7" w:rsidP="002238D7">
      <w:pPr>
        <w:jc w:val="center"/>
        <w:rPr>
          <w:rFonts w:ascii="Times New Roman" w:hAnsi="Times New Roman" w:cs="Times New Roman"/>
          <w:sz w:val="22"/>
          <w:lang w:val="es-MX"/>
        </w:rPr>
      </w:pPr>
      <w:r w:rsidRPr="00082DC7">
        <w:rPr>
          <w:rFonts w:ascii="Times New Roman" w:hAnsi="Times New Roman" w:cs="Times New Roman"/>
          <w:sz w:val="22"/>
          <w:lang w:val="es-MX"/>
        </w:rPr>
        <w:t>Enero 2012 – Mayo 2016</w:t>
      </w:r>
    </w:p>
    <w:p w:rsidR="002238D7" w:rsidRDefault="002238D7" w:rsidP="002238D7">
      <w:pPr>
        <w:jc w:val="center"/>
        <w:rPr>
          <w:rFonts w:ascii="Times New Roman" w:hAnsi="Times New Roman" w:cs="Times New Roman"/>
          <w:lang w:val="es-MX"/>
        </w:rPr>
      </w:pPr>
      <w:r>
        <w:rPr>
          <w:noProof/>
          <w:lang w:val="es-GT" w:eastAsia="es-GT"/>
        </w:rPr>
        <w:drawing>
          <wp:inline distT="0" distB="0" distL="0" distR="0" wp14:anchorId="5D5FDE3B" wp14:editId="41DD5420">
            <wp:extent cx="4994695" cy="2173856"/>
            <wp:effectExtent l="0" t="0" r="1587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38D7" w:rsidRPr="00082DC7" w:rsidRDefault="00082DC7" w:rsidP="002238D7">
      <w:pPr>
        <w:jc w:val="both"/>
        <w:rPr>
          <w:rFonts w:ascii="Times New Roman" w:hAnsi="Times New Roman" w:cs="Times New Roman"/>
          <w:sz w:val="16"/>
          <w:lang w:val="es-MX"/>
        </w:rPr>
      </w:pPr>
      <w:r>
        <w:rPr>
          <w:rFonts w:ascii="Times New Roman" w:hAnsi="Times New Roman" w:cs="Times New Roman"/>
          <w:sz w:val="16"/>
          <w:lang w:val="es-MX"/>
        </w:rPr>
        <w:t>Fuente: Banco de Guatemala.</w:t>
      </w:r>
    </w:p>
    <w:p w:rsidR="002238D7" w:rsidRPr="00082DC7" w:rsidRDefault="00147E7A" w:rsidP="00082DC7">
      <w:pPr>
        <w:pStyle w:val="Ttulo2"/>
        <w:rPr>
          <w:rFonts w:ascii="Times New Roman" w:hAnsi="Times New Roman" w:cs="Times New Roman"/>
          <w:color w:val="auto"/>
          <w:sz w:val="24"/>
        </w:rPr>
      </w:pPr>
      <w:bookmarkStart w:id="8" w:name="_Toc457550824"/>
      <w:r w:rsidRPr="00082DC7">
        <w:rPr>
          <w:rFonts w:ascii="Times New Roman" w:hAnsi="Times New Roman" w:cs="Times New Roman"/>
          <w:color w:val="auto"/>
          <w:sz w:val="24"/>
        </w:rPr>
        <w:t xml:space="preserve">1.6  </w:t>
      </w:r>
      <w:r w:rsidR="002238D7" w:rsidRPr="00082DC7">
        <w:rPr>
          <w:rFonts w:ascii="Times New Roman" w:hAnsi="Times New Roman" w:cs="Times New Roman"/>
          <w:color w:val="auto"/>
          <w:sz w:val="24"/>
        </w:rPr>
        <w:t>Expectativas de Inflación y Actividad Económica</w:t>
      </w:r>
      <w:bookmarkEnd w:id="8"/>
    </w:p>
    <w:p w:rsidR="002238D7" w:rsidRDefault="002238D7" w:rsidP="002238D7">
      <w:pPr>
        <w:jc w:val="both"/>
        <w:rPr>
          <w:rFonts w:ascii="Times New Roman" w:hAnsi="Times New Roman" w:cs="Times New Roman"/>
          <w:lang w:val="es-MX"/>
        </w:rPr>
      </w:pPr>
    </w:p>
    <w:p w:rsidR="00147E7A" w:rsidRDefault="002238D7" w:rsidP="002238D7">
      <w:pPr>
        <w:jc w:val="both"/>
        <w:rPr>
          <w:rFonts w:ascii="Times New Roman" w:hAnsi="Times New Roman" w:cs="Times New Roman"/>
          <w:lang w:val="es-MX"/>
        </w:rPr>
      </w:pPr>
      <w:r>
        <w:rPr>
          <w:rFonts w:ascii="Times New Roman" w:hAnsi="Times New Roman" w:cs="Times New Roman"/>
          <w:lang w:val="es-MX"/>
        </w:rPr>
        <w:t>El comportamiento del nivel general de precios de la economía durante el primer semestre del año ha sido estable, permaneciendo dentro de la meta de mediano plazo de 4.0% +/- 1.0 pp, vigente a partir 2013; de acuerdo al comportamiento de factores que explican la tendencia del indicador, como el comportamiento de los precios de los combustibles, la trayectoria del precio internacional del petróleo, el desempeño de la política fiscal, las condiciones climáticas y el desempeño de la política monetaria, se espera que el ritmo inflacionario muestre una variación interanual de 4.41% en el segundo semestre de 2016 y 4.50 a finales de 2017.</w:t>
      </w:r>
      <w:r w:rsidR="00082DC7">
        <w:rPr>
          <w:rFonts w:ascii="Times New Roman" w:hAnsi="Times New Roman" w:cs="Times New Roman"/>
          <w:lang w:val="es-MX"/>
        </w:rPr>
        <w:t xml:space="preserve">  </w:t>
      </w:r>
    </w:p>
    <w:p w:rsidR="00147E7A" w:rsidRDefault="00147E7A" w:rsidP="002238D7">
      <w:pPr>
        <w:jc w:val="both"/>
        <w:rPr>
          <w:rFonts w:ascii="Times New Roman" w:hAnsi="Times New Roman" w:cs="Times New Roman"/>
          <w:lang w:val="es-MX"/>
        </w:rPr>
      </w:pPr>
    </w:p>
    <w:p w:rsidR="002238D7" w:rsidRPr="00082DC7" w:rsidRDefault="002238D7" w:rsidP="002238D7">
      <w:pPr>
        <w:jc w:val="center"/>
        <w:rPr>
          <w:rFonts w:ascii="Times New Roman" w:hAnsi="Times New Roman" w:cs="Times New Roman"/>
          <w:b/>
          <w:lang w:val="es-MX"/>
        </w:rPr>
      </w:pPr>
      <w:r w:rsidRPr="00082DC7">
        <w:rPr>
          <w:rFonts w:ascii="Times New Roman" w:hAnsi="Times New Roman" w:cs="Times New Roman"/>
          <w:b/>
          <w:lang w:val="es-MX"/>
        </w:rPr>
        <w:t>Ritmo inflacionario</w:t>
      </w:r>
    </w:p>
    <w:p w:rsidR="002238D7" w:rsidRPr="00082DC7" w:rsidRDefault="002238D7" w:rsidP="002238D7">
      <w:pPr>
        <w:jc w:val="center"/>
        <w:rPr>
          <w:rFonts w:ascii="Times New Roman" w:hAnsi="Times New Roman" w:cs="Times New Roman"/>
          <w:b/>
          <w:sz w:val="22"/>
          <w:lang w:val="es-MX"/>
        </w:rPr>
      </w:pPr>
      <w:r w:rsidRPr="00082DC7">
        <w:rPr>
          <w:rFonts w:ascii="Times New Roman" w:hAnsi="Times New Roman" w:cs="Times New Roman"/>
          <w:b/>
          <w:sz w:val="22"/>
          <w:lang w:val="es-MX"/>
        </w:rPr>
        <w:t xml:space="preserve">Valores porcentuales Interanuales </w:t>
      </w:r>
    </w:p>
    <w:p w:rsidR="002238D7" w:rsidRPr="00082DC7" w:rsidRDefault="002238D7" w:rsidP="002238D7">
      <w:pPr>
        <w:jc w:val="center"/>
        <w:rPr>
          <w:rFonts w:ascii="Times New Roman" w:hAnsi="Times New Roman" w:cs="Times New Roman"/>
          <w:sz w:val="22"/>
          <w:lang w:val="es-MX"/>
        </w:rPr>
      </w:pPr>
      <w:r w:rsidRPr="00082DC7">
        <w:rPr>
          <w:rFonts w:ascii="Times New Roman" w:hAnsi="Times New Roman" w:cs="Times New Roman"/>
          <w:sz w:val="22"/>
          <w:lang w:val="es-MX"/>
        </w:rPr>
        <w:t>Junio 2014 - 2016</w:t>
      </w:r>
    </w:p>
    <w:p w:rsidR="002238D7" w:rsidRDefault="002238D7" w:rsidP="002238D7">
      <w:pPr>
        <w:jc w:val="center"/>
        <w:rPr>
          <w:rFonts w:ascii="Times New Roman" w:hAnsi="Times New Roman" w:cs="Times New Roman"/>
          <w:lang w:val="es-MX"/>
        </w:rPr>
      </w:pPr>
      <w:r>
        <w:rPr>
          <w:noProof/>
          <w:lang w:val="es-GT" w:eastAsia="es-GT"/>
        </w:rPr>
        <w:drawing>
          <wp:inline distT="0" distB="0" distL="0" distR="0" wp14:anchorId="62F12F88" wp14:editId="59B9616D">
            <wp:extent cx="3364302" cy="1966823"/>
            <wp:effectExtent l="0" t="0" r="762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38D7" w:rsidRPr="00DF631D" w:rsidRDefault="002238D7" w:rsidP="002238D7">
      <w:pPr>
        <w:ind w:left="1416" w:firstLine="708"/>
        <w:jc w:val="both"/>
        <w:rPr>
          <w:rFonts w:ascii="Times New Roman" w:hAnsi="Times New Roman" w:cs="Times New Roman"/>
          <w:sz w:val="16"/>
          <w:lang w:val="es-MX"/>
        </w:rPr>
      </w:pPr>
      <w:r w:rsidRPr="00DF631D">
        <w:rPr>
          <w:rFonts w:ascii="Times New Roman" w:hAnsi="Times New Roman" w:cs="Times New Roman"/>
          <w:sz w:val="16"/>
          <w:lang w:val="es-MX"/>
        </w:rPr>
        <w:t>Fuente: INE</w:t>
      </w:r>
    </w:p>
    <w:p w:rsidR="002238D7"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Pr>
          <w:rFonts w:ascii="Times New Roman" w:hAnsi="Times New Roman" w:cs="Times New Roman"/>
          <w:lang w:val="es-MX"/>
        </w:rPr>
        <w:t>Se espera que confianza en la actividad económica registre algunas variaciones hacia la baja en el corto plazo, sin embargo ha mostrado en los primeros meses del año un nivel mucho mayor que el mostrado en el segundo semestre del 2015, manteniéndose en la zona de expansión del indicador.  Dicho indicador de confianza refleja la percepción sobre la situación económica actual y el ambiente para los negocios, y es utilizado por el Banco de Guatemala para obtener una apreciación sobre la evolución económica del país en el futuro próximo.  En junio el nivel del Índice de Confianza de la Actividad Económica se situó en 50.90 puntos, inferior en 17.46% al registrado el mes anterior y mayor en 54.06% respecto al registrado en junio 2015;  es importante indicar que dicho índice se ubica en la zona de expansión si se posiciona por encima de 50 puntos y por debajo en la zona de contracción.</w:t>
      </w:r>
    </w:p>
    <w:p w:rsidR="002238D7" w:rsidRDefault="002238D7" w:rsidP="002238D7">
      <w:pPr>
        <w:jc w:val="both"/>
        <w:rPr>
          <w:rFonts w:ascii="Times New Roman" w:hAnsi="Times New Roman" w:cs="Times New Roman"/>
          <w:lang w:val="es-MX"/>
        </w:rPr>
      </w:pPr>
    </w:p>
    <w:p w:rsidR="008353C3" w:rsidRDefault="008353C3" w:rsidP="002238D7">
      <w:pPr>
        <w:jc w:val="both"/>
        <w:rPr>
          <w:rFonts w:ascii="Times New Roman" w:hAnsi="Times New Roman" w:cs="Times New Roman"/>
          <w:lang w:val="es-MX"/>
        </w:rPr>
      </w:pPr>
    </w:p>
    <w:p w:rsidR="002238D7" w:rsidRPr="000D409F" w:rsidRDefault="002238D7" w:rsidP="002238D7">
      <w:pPr>
        <w:jc w:val="center"/>
        <w:rPr>
          <w:rFonts w:ascii="Times New Roman" w:hAnsi="Times New Roman" w:cs="Times New Roman"/>
          <w:b/>
          <w:lang w:val="es-MX"/>
        </w:rPr>
      </w:pPr>
      <w:r w:rsidRPr="000D409F">
        <w:rPr>
          <w:rFonts w:ascii="Times New Roman" w:hAnsi="Times New Roman" w:cs="Times New Roman"/>
          <w:b/>
          <w:lang w:val="es-MX"/>
        </w:rPr>
        <w:t>Índice de Confianza de la Actividad Económica</w:t>
      </w:r>
    </w:p>
    <w:p w:rsidR="002238D7" w:rsidRPr="000D409F" w:rsidRDefault="002238D7" w:rsidP="002238D7">
      <w:pPr>
        <w:jc w:val="center"/>
        <w:rPr>
          <w:rFonts w:ascii="Times New Roman" w:hAnsi="Times New Roman" w:cs="Times New Roman"/>
          <w:b/>
          <w:sz w:val="22"/>
          <w:lang w:val="es-MX"/>
        </w:rPr>
      </w:pPr>
      <w:r w:rsidRPr="000D409F">
        <w:rPr>
          <w:rFonts w:ascii="Times New Roman" w:hAnsi="Times New Roman" w:cs="Times New Roman"/>
          <w:b/>
          <w:sz w:val="22"/>
          <w:lang w:val="es-MX"/>
        </w:rPr>
        <w:t xml:space="preserve">Valores porcentuales Interanuales </w:t>
      </w:r>
    </w:p>
    <w:p w:rsidR="002238D7" w:rsidRPr="000D409F" w:rsidRDefault="002238D7" w:rsidP="002238D7">
      <w:pPr>
        <w:jc w:val="center"/>
        <w:rPr>
          <w:rFonts w:ascii="Times New Roman" w:hAnsi="Times New Roman" w:cs="Times New Roman"/>
          <w:sz w:val="22"/>
          <w:lang w:val="es-MX"/>
        </w:rPr>
      </w:pPr>
      <w:r w:rsidRPr="000D409F">
        <w:rPr>
          <w:rFonts w:ascii="Times New Roman" w:hAnsi="Times New Roman" w:cs="Times New Roman"/>
          <w:sz w:val="22"/>
          <w:lang w:val="es-MX"/>
        </w:rPr>
        <w:t>Enero 2015 – Junio 2016</w:t>
      </w:r>
    </w:p>
    <w:p w:rsidR="002238D7" w:rsidRDefault="002238D7" w:rsidP="002238D7">
      <w:pPr>
        <w:jc w:val="center"/>
        <w:rPr>
          <w:rFonts w:ascii="Times New Roman" w:hAnsi="Times New Roman" w:cs="Times New Roman"/>
          <w:lang w:val="es-MX"/>
        </w:rPr>
      </w:pPr>
      <w:r>
        <w:rPr>
          <w:noProof/>
          <w:lang w:val="es-GT" w:eastAsia="es-GT"/>
        </w:rPr>
        <w:drawing>
          <wp:inline distT="0" distB="0" distL="0" distR="0" wp14:anchorId="37DB7774" wp14:editId="79826358">
            <wp:extent cx="4105275" cy="25812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8D7" w:rsidRPr="000D409F" w:rsidRDefault="000D409F" w:rsidP="002238D7">
      <w:pPr>
        <w:rPr>
          <w:rFonts w:ascii="Times New Roman" w:hAnsi="Times New Roman" w:cs="Times New Roman"/>
          <w:sz w:val="16"/>
          <w:lang w:val="es-MX"/>
        </w:rPr>
      </w:pPr>
      <w:r>
        <w:rPr>
          <w:rFonts w:ascii="Times New Roman" w:hAnsi="Times New Roman" w:cs="Times New Roman"/>
          <w:sz w:val="20"/>
          <w:lang w:val="es-MX"/>
        </w:rPr>
        <w:t xml:space="preserve">  </w:t>
      </w:r>
      <w:r>
        <w:rPr>
          <w:rFonts w:ascii="Times New Roman" w:hAnsi="Times New Roman" w:cs="Times New Roman"/>
          <w:sz w:val="20"/>
          <w:lang w:val="es-MX"/>
        </w:rPr>
        <w:tab/>
        <w:t xml:space="preserve">        </w:t>
      </w:r>
      <w:r w:rsidR="002238D7">
        <w:rPr>
          <w:rFonts w:ascii="Times New Roman" w:hAnsi="Times New Roman" w:cs="Times New Roman"/>
          <w:sz w:val="20"/>
          <w:lang w:val="es-MX"/>
        </w:rPr>
        <w:t xml:space="preserve"> </w:t>
      </w:r>
      <w:r w:rsidR="002238D7" w:rsidRPr="000D409F">
        <w:rPr>
          <w:rFonts w:ascii="Times New Roman" w:hAnsi="Times New Roman" w:cs="Times New Roman"/>
          <w:sz w:val="16"/>
          <w:lang w:val="es-MX"/>
        </w:rPr>
        <w:t>Fuente: Banco de Guatemala y Encuesta de Expectativas Economicas al Panel de Analistas Privados (EEE)</w:t>
      </w:r>
    </w:p>
    <w:p w:rsidR="002238D7" w:rsidRDefault="002238D7" w:rsidP="002238D7">
      <w:pPr>
        <w:rPr>
          <w:rFonts w:ascii="Times New Roman" w:hAnsi="Times New Roman" w:cs="Times New Roman"/>
          <w:lang w:val="es-MX"/>
        </w:rPr>
      </w:pPr>
    </w:p>
    <w:p w:rsidR="008353C3" w:rsidRPr="002E285A" w:rsidRDefault="008353C3" w:rsidP="002238D7">
      <w:pPr>
        <w:rPr>
          <w:rFonts w:ascii="Times New Roman" w:hAnsi="Times New Roman" w:cs="Times New Roman"/>
          <w:lang w:val="es-MX"/>
        </w:rPr>
      </w:pPr>
    </w:p>
    <w:p w:rsidR="002238D7" w:rsidRDefault="002238D7" w:rsidP="008353C3">
      <w:pPr>
        <w:jc w:val="both"/>
        <w:rPr>
          <w:rFonts w:ascii="Times New Roman" w:hAnsi="Times New Roman" w:cs="Times New Roman"/>
          <w:lang w:val="es-MX"/>
        </w:rPr>
      </w:pPr>
      <w:r w:rsidRPr="002E285A">
        <w:rPr>
          <w:rFonts w:ascii="Times New Roman" w:hAnsi="Times New Roman" w:cs="Times New Roman"/>
          <w:lang w:val="es-MX"/>
        </w:rPr>
        <w:t>En efecto</w:t>
      </w:r>
      <w:r>
        <w:rPr>
          <w:rFonts w:ascii="Times New Roman" w:hAnsi="Times New Roman" w:cs="Times New Roman"/>
          <w:lang w:val="es-MX"/>
        </w:rPr>
        <w:t>, la percepción de los analistas privados se focaliza sobre todo en el clima de negocios, al nivel que en virtud de los resultados de la última actualización, se observa incertidumbre sobre el futuro o no se espera ningún cambio.</w:t>
      </w:r>
    </w:p>
    <w:p w:rsidR="002238D7" w:rsidRDefault="002238D7" w:rsidP="002238D7">
      <w:pPr>
        <w:rPr>
          <w:rFonts w:ascii="Times New Roman" w:hAnsi="Times New Roman" w:cs="Times New Roman"/>
          <w:lang w:val="es-MX"/>
        </w:rPr>
      </w:pPr>
    </w:p>
    <w:p w:rsidR="008353C3" w:rsidRDefault="008353C3" w:rsidP="002238D7">
      <w:pPr>
        <w:rPr>
          <w:rFonts w:ascii="Times New Roman" w:hAnsi="Times New Roman" w:cs="Times New Roman"/>
          <w:lang w:val="es-MX"/>
        </w:rPr>
      </w:pPr>
    </w:p>
    <w:p w:rsidR="008353C3" w:rsidRDefault="008353C3" w:rsidP="002238D7">
      <w:pPr>
        <w:rPr>
          <w:rFonts w:ascii="Times New Roman" w:hAnsi="Times New Roman" w:cs="Times New Roman"/>
          <w:lang w:val="es-MX"/>
        </w:rPr>
      </w:pPr>
    </w:p>
    <w:p w:rsidR="008353C3" w:rsidRDefault="008353C3" w:rsidP="002238D7">
      <w:pPr>
        <w:rPr>
          <w:rFonts w:ascii="Times New Roman" w:hAnsi="Times New Roman" w:cs="Times New Roman"/>
          <w:lang w:val="es-MX"/>
        </w:rPr>
      </w:pPr>
    </w:p>
    <w:p w:rsidR="008353C3" w:rsidRDefault="008353C3" w:rsidP="002238D7">
      <w:pPr>
        <w:rPr>
          <w:rFonts w:ascii="Times New Roman" w:hAnsi="Times New Roman" w:cs="Times New Roman"/>
          <w:lang w:val="es-MX"/>
        </w:rPr>
      </w:pPr>
    </w:p>
    <w:p w:rsidR="008353C3" w:rsidRDefault="008353C3" w:rsidP="002238D7">
      <w:pPr>
        <w:rPr>
          <w:rFonts w:ascii="Times New Roman" w:hAnsi="Times New Roman" w:cs="Times New Roman"/>
          <w:lang w:val="es-MX"/>
        </w:rPr>
      </w:pPr>
    </w:p>
    <w:p w:rsidR="008353C3" w:rsidRDefault="008353C3" w:rsidP="002238D7">
      <w:pPr>
        <w:rPr>
          <w:rFonts w:ascii="Times New Roman" w:hAnsi="Times New Roman" w:cs="Times New Roman"/>
          <w:lang w:val="es-MX"/>
        </w:rPr>
      </w:pPr>
    </w:p>
    <w:p w:rsidR="008353C3" w:rsidRDefault="008353C3" w:rsidP="002238D7">
      <w:pPr>
        <w:rPr>
          <w:rFonts w:ascii="Times New Roman" w:hAnsi="Times New Roman" w:cs="Times New Roman"/>
          <w:lang w:val="es-MX"/>
        </w:rPr>
      </w:pPr>
    </w:p>
    <w:p w:rsidR="002238D7" w:rsidRPr="000D409F" w:rsidRDefault="002238D7" w:rsidP="002238D7">
      <w:pPr>
        <w:jc w:val="center"/>
        <w:rPr>
          <w:rFonts w:ascii="Times New Roman" w:hAnsi="Times New Roman" w:cs="Times New Roman"/>
          <w:b/>
          <w:lang w:val="es-MX"/>
        </w:rPr>
      </w:pPr>
      <w:r w:rsidRPr="000D409F">
        <w:rPr>
          <w:rFonts w:ascii="Times New Roman" w:hAnsi="Times New Roman" w:cs="Times New Roman"/>
          <w:b/>
          <w:lang w:val="es-MX"/>
        </w:rPr>
        <w:t>Resultados sobre el Nivel de Confianza de la Actividad Económica</w:t>
      </w:r>
    </w:p>
    <w:p w:rsidR="002238D7" w:rsidRPr="000D409F" w:rsidRDefault="002238D7" w:rsidP="002238D7">
      <w:pPr>
        <w:jc w:val="center"/>
        <w:rPr>
          <w:rFonts w:ascii="Times New Roman" w:hAnsi="Times New Roman" w:cs="Times New Roman"/>
          <w:sz w:val="22"/>
          <w:lang w:val="es-MX"/>
        </w:rPr>
      </w:pPr>
      <w:r w:rsidRPr="000D409F">
        <w:rPr>
          <w:rFonts w:ascii="Times New Roman" w:hAnsi="Times New Roman" w:cs="Times New Roman"/>
          <w:sz w:val="22"/>
          <w:lang w:val="es-MX"/>
        </w:rPr>
        <w:t>Panel de Analistas Privados Banco de Guatemala</w:t>
      </w:r>
    </w:p>
    <w:tbl>
      <w:tblPr>
        <w:tblStyle w:val="Tablaconcuadrcula"/>
        <w:tblW w:w="0" w:type="auto"/>
        <w:tblLook w:val="04A0" w:firstRow="1" w:lastRow="0" w:firstColumn="1" w:lastColumn="0" w:noHBand="0" w:noVBand="1"/>
      </w:tblPr>
      <w:tblGrid>
        <w:gridCol w:w="4202"/>
        <w:gridCol w:w="739"/>
        <w:gridCol w:w="905"/>
        <w:gridCol w:w="783"/>
        <w:gridCol w:w="733"/>
        <w:gridCol w:w="733"/>
        <w:gridCol w:w="733"/>
      </w:tblGrid>
      <w:tr w:rsidR="002238D7" w:rsidRPr="00C3458E" w:rsidTr="000D409F">
        <w:trPr>
          <w:trHeight w:val="364"/>
        </w:trPr>
        <w:tc>
          <w:tcPr>
            <w:tcW w:w="5028" w:type="dxa"/>
            <w:vMerge w:val="restart"/>
            <w:shd w:val="clear" w:color="auto" w:fill="8DB3E2" w:themeFill="text2" w:themeFillTint="66"/>
            <w:vAlign w:val="center"/>
          </w:tcPr>
          <w:p w:rsidR="002238D7" w:rsidRPr="008353C3" w:rsidRDefault="002238D7" w:rsidP="002238D7">
            <w:pPr>
              <w:jc w:val="center"/>
              <w:rPr>
                <w:rFonts w:ascii="Times New Roman" w:hAnsi="Times New Roman" w:cs="Times New Roman"/>
                <w:b/>
                <w:sz w:val="20"/>
                <w:szCs w:val="16"/>
                <w:lang w:val="es-MX"/>
              </w:rPr>
            </w:pPr>
            <w:r w:rsidRPr="008353C3">
              <w:rPr>
                <w:rFonts w:ascii="Times New Roman" w:hAnsi="Times New Roman" w:cs="Times New Roman"/>
                <w:b/>
                <w:szCs w:val="16"/>
                <w:lang w:val="es-MX"/>
              </w:rPr>
              <w:t>Pregunta</w:t>
            </w:r>
          </w:p>
        </w:tc>
        <w:tc>
          <w:tcPr>
            <w:tcW w:w="4026" w:type="dxa"/>
            <w:gridSpan w:val="6"/>
            <w:shd w:val="clear" w:color="auto" w:fill="8DB3E2" w:themeFill="text2" w:themeFillTint="66"/>
            <w:vAlign w:val="center"/>
          </w:tcPr>
          <w:p w:rsidR="002238D7" w:rsidRPr="008353C3" w:rsidRDefault="002238D7" w:rsidP="002238D7">
            <w:pPr>
              <w:jc w:val="center"/>
              <w:rPr>
                <w:rFonts w:ascii="Times New Roman" w:hAnsi="Times New Roman" w:cs="Times New Roman"/>
                <w:b/>
                <w:sz w:val="20"/>
                <w:szCs w:val="16"/>
                <w:lang w:val="es-MX"/>
              </w:rPr>
            </w:pPr>
            <w:r w:rsidRPr="008353C3">
              <w:rPr>
                <w:rFonts w:ascii="Times New Roman" w:hAnsi="Times New Roman" w:cs="Times New Roman"/>
                <w:b/>
                <w:sz w:val="20"/>
                <w:szCs w:val="16"/>
                <w:lang w:val="es-MX"/>
              </w:rPr>
              <w:t>2016</w:t>
            </w:r>
          </w:p>
        </w:tc>
      </w:tr>
      <w:tr w:rsidR="002238D7" w:rsidRPr="00C3458E" w:rsidTr="000D409F">
        <w:trPr>
          <w:trHeight w:val="141"/>
        </w:trPr>
        <w:tc>
          <w:tcPr>
            <w:tcW w:w="5028" w:type="dxa"/>
            <w:vMerge/>
            <w:shd w:val="clear" w:color="auto" w:fill="8DB3E2" w:themeFill="text2" w:themeFillTint="66"/>
            <w:vAlign w:val="center"/>
          </w:tcPr>
          <w:p w:rsidR="002238D7" w:rsidRPr="008353C3" w:rsidRDefault="002238D7" w:rsidP="002238D7">
            <w:pPr>
              <w:jc w:val="center"/>
              <w:rPr>
                <w:rFonts w:ascii="Times New Roman" w:hAnsi="Times New Roman" w:cs="Times New Roman"/>
                <w:b/>
                <w:sz w:val="20"/>
                <w:szCs w:val="16"/>
                <w:lang w:val="es-MX"/>
              </w:rPr>
            </w:pPr>
          </w:p>
        </w:tc>
        <w:tc>
          <w:tcPr>
            <w:tcW w:w="705" w:type="dxa"/>
            <w:shd w:val="clear" w:color="auto" w:fill="8DB3E2" w:themeFill="text2" w:themeFillTint="66"/>
            <w:vAlign w:val="center"/>
          </w:tcPr>
          <w:p w:rsidR="002238D7" w:rsidRPr="008353C3" w:rsidRDefault="002238D7" w:rsidP="002238D7">
            <w:pPr>
              <w:jc w:val="center"/>
              <w:rPr>
                <w:rFonts w:ascii="Times New Roman" w:hAnsi="Times New Roman" w:cs="Times New Roman"/>
                <w:b/>
                <w:sz w:val="20"/>
                <w:szCs w:val="16"/>
                <w:lang w:val="es-MX"/>
              </w:rPr>
            </w:pPr>
            <w:r w:rsidRPr="008353C3">
              <w:rPr>
                <w:rFonts w:ascii="Times New Roman" w:hAnsi="Times New Roman" w:cs="Times New Roman"/>
                <w:b/>
                <w:sz w:val="20"/>
                <w:szCs w:val="16"/>
                <w:lang w:val="es-MX"/>
              </w:rPr>
              <w:t>Enero</w:t>
            </w:r>
          </w:p>
        </w:tc>
        <w:tc>
          <w:tcPr>
            <w:tcW w:w="698" w:type="dxa"/>
            <w:shd w:val="clear" w:color="auto" w:fill="8DB3E2" w:themeFill="text2" w:themeFillTint="66"/>
            <w:vAlign w:val="center"/>
          </w:tcPr>
          <w:p w:rsidR="002238D7" w:rsidRPr="008353C3" w:rsidRDefault="002238D7" w:rsidP="002238D7">
            <w:pPr>
              <w:jc w:val="center"/>
              <w:rPr>
                <w:rFonts w:ascii="Times New Roman" w:hAnsi="Times New Roman" w:cs="Times New Roman"/>
                <w:b/>
                <w:sz w:val="20"/>
                <w:szCs w:val="16"/>
                <w:lang w:val="es-MX"/>
              </w:rPr>
            </w:pPr>
            <w:r w:rsidRPr="008353C3">
              <w:rPr>
                <w:rFonts w:ascii="Times New Roman" w:hAnsi="Times New Roman" w:cs="Times New Roman"/>
                <w:b/>
                <w:sz w:val="20"/>
                <w:szCs w:val="16"/>
                <w:lang w:val="es-MX"/>
              </w:rPr>
              <w:t>Febrero</w:t>
            </w:r>
          </w:p>
        </w:tc>
        <w:tc>
          <w:tcPr>
            <w:tcW w:w="713" w:type="dxa"/>
            <w:shd w:val="clear" w:color="auto" w:fill="8DB3E2" w:themeFill="text2" w:themeFillTint="66"/>
            <w:vAlign w:val="center"/>
          </w:tcPr>
          <w:p w:rsidR="002238D7" w:rsidRPr="008353C3" w:rsidRDefault="002238D7" w:rsidP="002238D7">
            <w:pPr>
              <w:jc w:val="center"/>
              <w:rPr>
                <w:rFonts w:ascii="Times New Roman" w:hAnsi="Times New Roman" w:cs="Times New Roman"/>
                <w:b/>
                <w:sz w:val="20"/>
                <w:szCs w:val="16"/>
                <w:lang w:val="es-MX"/>
              </w:rPr>
            </w:pPr>
            <w:r w:rsidRPr="008353C3">
              <w:rPr>
                <w:rFonts w:ascii="Times New Roman" w:hAnsi="Times New Roman" w:cs="Times New Roman"/>
                <w:b/>
                <w:sz w:val="20"/>
                <w:szCs w:val="16"/>
                <w:lang w:val="es-MX"/>
              </w:rPr>
              <w:t>Marzo</w:t>
            </w:r>
          </w:p>
        </w:tc>
        <w:tc>
          <w:tcPr>
            <w:tcW w:w="624" w:type="dxa"/>
            <w:shd w:val="clear" w:color="auto" w:fill="8DB3E2" w:themeFill="text2" w:themeFillTint="66"/>
            <w:vAlign w:val="center"/>
          </w:tcPr>
          <w:p w:rsidR="002238D7" w:rsidRPr="008353C3" w:rsidRDefault="002238D7" w:rsidP="002238D7">
            <w:pPr>
              <w:jc w:val="center"/>
              <w:rPr>
                <w:rFonts w:ascii="Times New Roman" w:hAnsi="Times New Roman" w:cs="Times New Roman"/>
                <w:b/>
                <w:sz w:val="20"/>
                <w:szCs w:val="16"/>
                <w:lang w:val="es-MX"/>
              </w:rPr>
            </w:pPr>
            <w:r w:rsidRPr="008353C3">
              <w:rPr>
                <w:rFonts w:ascii="Times New Roman" w:hAnsi="Times New Roman" w:cs="Times New Roman"/>
                <w:b/>
                <w:sz w:val="20"/>
                <w:szCs w:val="16"/>
                <w:lang w:val="es-MX"/>
              </w:rPr>
              <w:t>Abril</w:t>
            </w:r>
          </w:p>
        </w:tc>
        <w:tc>
          <w:tcPr>
            <w:tcW w:w="647" w:type="dxa"/>
            <w:shd w:val="clear" w:color="auto" w:fill="8DB3E2" w:themeFill="text2" w:themeFillTint="66"/>
            <w:vAlign w:val="center"/>
          </w:tcPr>
          <w:p w:rsidR="002238D7" w:rsidRPr="008353C3" w:rsidRDefault="002238D7" w:rsidP="002238D7">
            <w:pPr>
              <w:jc w:val="center"/>
              <w:rPr>
                <w:rFonts w:ascii="Times New Roman" w:hAnsi="Times New Roman" w:cs="Times New Roman"/>
                <w:b/>
                <w:sz w:val="20"/>
                <w:szCs w:val="16"/>
                <w:lang w:val="es-MX"/>
              </w:rPr>
            </w:pPr>
            <w:r w:rsidRPr="008353C3">
              <w:rPr>
                <w:rFonts w:ascii="Times New Roman" w:hAnsi="Times New Roman" w:cs="Times New Roman"/>
                <w:b/>
                <w:sz w:val="20"/>
                <w:szCs w:val="16"/>
                <w:lang w:val="es-MX"/>
              </w:rPr>
              <w:t>Mayo</w:t>
            </w:r>
          </w:p>
        </w:tc>
        <w:tc>
          <w:tcPr>
            <w:tcW w:w="639" w:type="dxa"/>
            <w:shd w:val="clear" w:color="auto" w:fill="8DB3E2" w:themeFill="text2" w:themeFillTint="66"/>
            <w:vAlign w:val="center"/>
          </w:tcPr>
          <w:p w:rsidR="002238D7" w:rsidRPr="008353C3" w:rsidRDefault="002238D7" w:rsidP="002238D7">
            <w:pPr>
              <w:jc w:val="center"/>
              <w:rPr>
                <w:rFonts w:ascii="Times New Roman" w:hAnsi="Times New Roman" w:cs="Times New Roman"/>
                <w:b/>
                <w:sz w:val="20"/>
                <w:szCs w:val="16"/>
                <w:lang w:val="es-MX"/>
              </w:rPr>
            </w:pPr>
            <w:r w:rsidRPr="008353C3">
              <w:rPr>
                <w:rFonts w:ascii="Times New Roman" w:hAnsi="Times New Roman" w:cs="Times New Roman"/>
                <w:b/>
                <w:sz w:val="20"/>
                <w:szCs w:val="16"/>
                <w:lang w:val="es-MX"/>
              </w:rPr>
              <w:t>Junio</w:t>
            </w:r>
          </w:p>
        </w:tc>
      </w:tr>
      <w:tr w:rsidR="000D409F" w:rsidRPr="00C3458E" w:rsidTr="008353C3">
        <w:trPr>
          <w:trHeight w:val="386"/>
        </w:trPr>
        <w:tc>
          <w:tcPr>
            <w:tcW w:w="9054" w:type="dxa"/>
            <w:gridSpan w:val="7"/>
          </w:tcPr>
          <w:p w:rsidR="008353C3" w:rsidRDefault="008353C3" w:rsidP="000D409F">
            <w:pPr>
              <w:jc w:val="both"/>
              <w:rPr>
                <w:rFonts w:ascii="Times New Roman" w:hAnsi="Times New Roman" w:cs="Times New Roman"/>
                <w:sz w:val="20"/>
                <w:szCs w:val="24"/>
                <w:lang w:val="es-MX"/>
              </w:rPr>
            </w:pPr>
          </w:p>
          <w:p w:rsidR="000D409F" w:rsidRDefault="000D409F" w:rsidP="000D409F">
            <w:pPr>
              <w:jc w:val="both"/>
              <w:rPr>
                <w:rFonts w:ascii="Times New Roman" w:hAnsi="Times New Roman" w:cs="Times New Roman"/>
                <w:sz w:val="20"/>
                <w:szCs w:val="24"/>
                <w:lang w:val="es-MX"/>
              </w:rPr>
            </w:pPr>
            <w:r w:rsidRPr="008353C3">
              <w:rPr>
                <w:rFonts w:ascii="Times New Roman" w:hAnsi="Times New Roman" w:cs="Times New Roman"/>
                <w:sz w:val="20"/>
                <w:szCs w:val="24"/>
                <w:lang w:val="es-MX"/>
              </w:rPr>
              <w:t>¿Cómo considera que evolucione el clima de los negocios para las actividades productivas del sector privado en los próximos seis meses en comparación con los pasados seis meses?</w:t>
            </w:r>
          </w:p>
          <w:p w:rsidR="008353C3" w:rsidRPr="008353C3" w:rsidRDefault="008353C3" w:rsidP="000D409F">
            <w:pPr>
              <w:jc w:val="both"/>
              <w:rPr>
                <w:rFonts w:ascii="Times New Roman" w:hAnsi="Times New Roman" w:cs="Times New Roman"/>
                <w:sz w:val="20"/>
                <w:szCs w:val="24"/>
                <w:lang w:val="es-MX"/>
              </w:rPr>
            </w:pPr>
          </w:p>
        </w:tc>
      </w:tr>
      <w:tr w:rsidR="000D409F" w:rsidRPr="00C3458E" w:rsidTr="008353C3">
        <w:trPr>
          <w:trHeight w:val="419"/>
        </w:trPr>
        <w:tc>
          <w:tcPr>
            <w:tcW w:w="5028" w:type="dxa"/>
          </w:tcPr>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Mejorará</w:t>
            </w:r>
          </w:p>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Igual</w:t>
            </w:r>
          </w:p>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Empeorará</w:t>
            </w:r>
          </w:p>
        </w:tc>
        <w:tc>
          <w:tcPr>
            <w:tcW w:w="705"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78.6%</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21.4%</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0.0%</w:t>
            </w:r>
          </w:p>
        </w:tc>
        <w:tc>
          <w:tcPr>
            <w:tcW w:w="698"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57.1%</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42.9%</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0.0%</w:t>
            </w:r>
          </w:p>
        </w:tc>
        <w:tc>
          <w:tcPr>
            <w:tcW w:w="713"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53.8%</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38.5%</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7.7%</w:t>
            </w:r>
          </w:p>
        </w:tc>
        <w:tc>
          <w:tcPr>
            <w:tcW w:w="624"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45.5%</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54.5%</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0.0%</w:t>
            </w:r>
          </w:p>
        </w:tc>
        <w:tc>
          <w:tcPr>
            <w:tcW w:w="647"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33.3%</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60.0%</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6.7%</w:t>
            </w:r>
          </w:p>
        </w:tc>
        <w:tc>
          <w:tcPr>
            <w:tcW w:w="639"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21.4%</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71.4%</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7.2%</w:t>
            </w:r>
          </w:p>
        </w:tc>
      </w:tr>
      <w:tr w:rsidR="000D409F" w:rsidRPr="00C3458E" w:rsidTr="003902B9">
        <w:trPr>
          <w:trHeight w:val="285"/>
        </w:trPr>
        <w:tc>
          <w:tcPr>
            <w:tcW w:w="9054" w:type="dxa"/>
            <w:gridSpan w:val="7"/>
          </w:tcPr>
          <w:p w:rsidR="008353C3" w:rsidRDefault="008353C3" w:rsidP="000D409F">
            <w:pPr>
              <w:jc w:val="both"/>
              <w:rPr>
                <w:rFonts w:ascii="Times New Roman" w:hAnsi="Times New Roman" w:cs="Times New Roman"/>
                <w:sz w:val="20"/>
                <w:szCs w:val="24"/>
                <w:lang w:val="es-MX"/>
              </w:rPr>
            </w:pPr>
          </w:p>
          <w:p w:rsidR="000D409F" w:rsidRDefault="000D409F" w:rsidP="000D409F">
            <w:pPr>
              <w:jc w:val="both"/>
              <w:rPr>
                <w:rFonts w:ascii="Times New Roman" w:hAnsi="Times New Roman" w:cs="Times New Roman"/>
                <w:sz w:val="20"/>
                <w:szCs w:val="24"/>
                <w:lang w:val="es-MX"/>
              </w:rPr>
            </w:pPr>
            <w:r w:rsidRPr="008353C3">
              <w:rPr>
                <w:rFonts w:ascii="Times New Roman" w:hAnsi="Times New Roman" w:cs="Times New Roman"/>
                <w:sz w:val="20"/>
                <w:szCs w:val="24"/>
                <w:lang w:val="es-MX"/>
              </w:rPr>
              <w:t>¿Considera usted que actualmente la economía del país está mejor que hace un año?</w:t>
            </w:r>
          </w:p>
          <w:p w:rsidR="008353C3" w:rsidRPr="008353C3" w:rsidRDefault="008353C3" w:rsidP="000D409F">
            <w:pPr>
              <w:jc w:val="both"/>
              <w:rPr>
                <w:rFonts w:ascii="Times New Roman" w:hAnsi="Times New Roman" w:cs="Times New Roman"/>
                <w:sz w:val="20"/>
                <w:szCs w:val="24"/>
                <w:lang w:val="es-MX"/>
              </w:rPr>
            </w:pPr>
          </w:p>
        </w:tc>
      </w:tr>
      <w:tr w:rsidR="000D409F" w:rsidRPr="00C3458E" w:rsidTr="008353C3">
        <w:trPr>
          <w:trHeight w:val="389"/>
        </w:trPr>
        <w:tc>
          <w:tcPr>
            <w:tcW w:w="5028" w:type="dxa"/>
          </w:tcPr>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Sí</w:t>
            </w:r>
          </w:p>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No</w:t>
            </w:r>
          </w:p>
        </w:tc>
        <w:tc>
          <w:tcPr>
            <w:tcW w:w="705" w:type="dxa"/>
          </w:tcPr>
          <w:p w:rsidR="000D409F" w:rsidRPr="008353C3" w:rsidRDefault="000D409F" w:rsidP="008353C3">
            <w:pPr>
              <w:rPr>
                <w:rFonts w:ascii="Times New Roman" w:hAnsi="Times New Roman" w:cs="Times New Roman"/>
                <w:sz w:val="20"/>
                <w:szCs w:val="24"/>
                <w:lang w:val="es-MX"/>
              </w:rPr>
            </w:pPr>
            <w:r w:rsidRPr="008353C3">
              <w:rPr>
                <w:rFonts w:ascii="Times New Roman" w:hAnsi="Times New Roman" w:cs="Times New Roman"/>
                <w:sz w:val="20"/>
                <w:szCs w:val="24"/>
                <w:lang w:val="es-MX"/>
              </w:rPr>
              <w:t>28.6%</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71.4%</w:t>
            </w:r>
          </w:p>
        </w:tc>
        <w:tc>
          <w:tcPr>
            <w:tcW w:w="698" w:type="dxa"/>
          </w:tcPr>
          <w:p w:rsidR="000D409F" w:rsidRPr="008353C3" w:rsidRDefault="000D409F" w:rsidP="008353C3">
            <w:pPr>
              <w:rPr>
                <w:rFonts w:ascii="Times New Roman" w:hAnsi="Times New Roman" w:cs="Times New Roman"/>
                <w:sz w:val="20"/>
                <w:szCs w:val="24"/>
                <w:lang w:val="es-MX"/>
              </w:rPr>
            </w:pPr>
            <w:r w:rsidRPr="008353C3">
              <w:rPr>
                <w:rFonts w:ascii="Times New Roman" w:hAnsi="Times New Roman" w:cs="Times New Roman"/>
                <w:sz w:val="20"/>
                <w:szCs w:val="24"/>
                <w:lang w:val="es-MX"/>
              </w:rPr>
              <w:t>46.2%</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53.8%</w:t>
            </w:r>
          </w:p>
        </w:tc>
        <w:tc>
          <w:tcPr>
            <w:tcW w:w="713" w:type="dxa"/>
          </w:tcPr>
          <w:p w:rsidR="000D409F" w:rsidRPr="008353C3" w:rsidRDefault="000D409F" w:rsidP="008353C3">
            <w:pPr>
              <w:rPr>
                <w:rFonts w:ascii="Times New Roman" w:hAnsi="Times New Roman" w:cs="Times New Roman"/>
                <w:sz w:val="20"/>
                <w:szCs w:val="24"/>
                <w:lang w:val="es-MX"/>
              </w:rPr>
            </w:pPr>
            <w:r w:rsidRPr="008353C3">
              <w:rPr>
                <w:rFonts w:ascii="Times New Roman" w:hAnsi="Times New Roman" w:cs="Times New Roman"/>
                <w:sz w:val="20"/>
                <w:szCs w:val="24"/>
                <w:lang w:val="es-MX"/>
              </w:rPr>
              <w:t>46.1%</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53.9%</w:t>
            </w:r>
          </w:p>
        </w:tc>
        <w:tc>
          <w:tcPr>
            <w:tcW w:w="624" w:type="dxa"/>
          </w:tcPr>
          <w:p w:rsidR="000D409F" w:rsidRPr="008353C3" w:rsidRDefault="000D409F" w:rsidP="008353C3">
            <w:pPr>
              <w:rPr>
                <w:rFonts w:ascii="Times New Roman" w:hAnsi="Times New Roman" w:cs="Times New Roman"/>
                <w:sz w:val="20"/>
                <w:szCs w:val="24"/>
                <w:lang w:val="es-MX"/>
              </w:rPr>
            </w:pPr>
            <w:r w:rsidRPr="008353C3">
              <w:rPr>
                <w:rFonts w:ascii="Times New Roman" w:hAnsi="Times New Roman" w:cs="Times New Roman"/>
                <w:sz w:val="20"/>
                <w:szCs w:val="24"/>
                <w:lang w:val="es-MX"/>
              </w:rPr>
              <w:t>36.4%</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63.6%</w:t>
            </w:r>
          </w:p>
        </w:tc>
        <w:tc>
          <w:tcPr>
            <w:tcW w:w="647" w:type="dxa"/>
          </w:tcPr>
          <w:p w:rsidR="000D409F" w:rsidRPr="008353C3" w:rsidRDefault="000D409F" w:rsidP="008353C3">
            <w:pPr>
              <w:rPr>
                <w:rFonts w:ascii="Times New Roman" w:hAnsi="Times New Roman" w:cs="Times New Roman"/>
                <w:sz w:val="20"/>
                <w:szCs w:val="24"/>
                <w:lang w:val="es-MX"/>
              </w:rPr>
            </w:pPr>
            <w:r w:rsidRPr="008353C3">
              <w:rPr>
                <w:rFonts w:ascii="Times New Roman" w:hAnsi="Times New Roman" w:cs="Times New Roman"/>
                <w:sz w:val="20"/>
                <w:szCs w:val="24"/>
                <w:lang w:val="es-MX"/>
              </w:rPr>
              <w:t>40.0%</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60.0%</w:t>
            </w:r>
          </w:p>
        </w:tc>
        <w:tc>
          <w:tcPr>
            <w:tcW w:w="639" w:type="dxa"/>
          </w:tcPr>
          <w:p w:rsidR="000D409F" w:rsidRPr="008353C3" w:rsidRDefault="000D409F" w:rsidP="008353C3">
            <w:pPr>
              <w:rPr>
                <w:rFonts w:ascii="Times New Roman" w:hAnsi="Times New Roman" w:cs="Times New Roman"/>
                <w:sz w:val="20"/>
                <w:szCs w:val="24"/>
                <w:lang w:val="es-MX"/>
              </w:rPr>
            </w:pPr>
            <w:r w:rsidRPr="008353C3">
              <w:rPr>
                <w:rFonts w:ascii="Times New Roman" w:hAnsi="Times New Roman" w:cs="Times New Roman"/>
                <w:sz w:val="20"/>
                <w:szCs w:val="24"/>
                <w:lang w:val="es-MX"/>
              </w:rPr>
              <w:t>42.9%</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57.1%</w:t>
            </w:r>
          </w:p>
        </w:tc>
      </w:tr>
      <w:tr w:rsidR="000D409F" w:rsidRPr="00C3458E" w:rsidTr="008353C3">
        <w:trPr>
          <w:trHeight w:val="209"/>
        </w:trPr>
        <w:tc>
          <w:tcPr>
            <w:tcW w:w="9054" w:type="dxa"/>
            <w:gridSpan w:val="7"/>
          </w:tcPr>
          <w:p w:rsidR="008353C3" w:rsidRDefault="008353C3" w:rsidP="008353C3">
            <w:pPr>
              <w:jc w:val="both"/>
              <w:rPr>
                <w:rFonts w:ascii="Times New Roman" w:hAnsi="Times New Roman" w:cs="Times New Roman"/>
                <w:sz w:val="20"/>
                <w:szCs w:val="24"/>
                <w:lang w:val="es-MX"/>
              </w:rPr>
            </w:pPr>
          </w:p>
          <w:p w:rsidR="000D409F" w:rsidRDefault="000D409F" w:rsidP="008353C3">
            <w:pPr>
              <w:jc w:val="both"/>
              <w:rPr>
                <w:rFonts w:ascii="Times New Roman" w:hAnsi="Times New Roman" w:cs="Times New Roman"/>
                <w:sz w:val="20"/>
                <w:szCs w:val="24"/>
                <w:lang w:val="es-MX"/>
              </w:rPr>
            </w:pPr>
            <w:r w:rsidRPr="008353C3">
              <w:rPr>
                <w:rFonts w:ascii="Times New Roman" w:hAnsi="Times New Roman" w:cs="Times New Roman"/>
                <w:sz w:val="20"/>
                <w:szCs w:val="24"/>
                <w:lang w:val="es-MX"/>
              </w:rPr>
              <w:t>¿Espera usted que la evolución económica del país mejore d</w:t>
            </w:r>
            <w:r w:rsidR="008353C3" w:rsidRPr="008353C3">
              <w:rPr>
                <w:rFonts w:ascii="Times New Roman" w:hAnsi="Times New Roman" w:cs="Times New Roman"/>
                <w:sz w:val="20"/>
                <w:szCs w:val="24"/>
                <w:lang w:val="es-MX"/>
              </w:rPr>
              <w:t>urante los próximos seis meses?</w:t>
            </w:r>
          </w:p>
          <w:p w:rsidR="008353C3" w:rsidRPr="008353C3" w:rsidRDefault="008353C3" w:rsidP="008353C3">
            <w:pPr>
              <w:jc w:val="both"/>
              <w:rPr>
                <w:rFonts w:ascii="Times New Roman" w:hAnsi="Times New Roman" w:cs="Times New Roman"/>
                <w:sz w:val="20"/>
                <w:szCs w:val="24"/>
                <w:lang w:val="es-MX"/>
              </w:rPr>
            </w:pPr>
          </w:p>
        </w:tc>
      </w:tr>
      <w:tr w:rsidR="000D409F" w:rsidRPr="00C3458E" w:rsidTr="000D409F">
        <w:trPr>
          <w:trHeight w:val="240"/>
        </w:trPr>
        <w:tc>
          <w:tcPr>
            <w:tcW w:w="5028" w:type="dxa"/>
          </w:tcPr>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Si</w:t>
            </w:r>
          </w:p>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No</w:t>
            </w:r>
          </w:p>
        </w:tc>
        <w:tc>
          <w:tcPr>
            <w:tcW w:w="705"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85.7%</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14.3%</w:t>
            </w:r>
          </w:p>
        </w:tc>
        <w:tc>
          <w:tcPr>
            <w:tcW w:w="698"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57.1%</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42.9%</w:t>
            </w:r>
          </w:p>
        </w:tc>
        <w:tc>
          <w:tcPr>
            <w:tcW w:w="713"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53.9%</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46.1%</w:t>
            </w:r>
          </w:p>
        </w:tc>
        <w:tc>
          <w:tcPr>
            <w:tcW w:w="624"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81.8%</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18.2%</w:t>
            </w:r>
          </w:p>
        </w:tc>
        <w:tc>
          <w:tcPr>
            <w:tcW w:w="647"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73.3%</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26.7%</w:t>
            </w:r>
          </w:p>
        </w:tc>
        <w:tc>
          <w:tcPr>
            <w:tcW w:w="639"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50.0%</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50.0%</w:t>
            </w:r>
          </w:p>
        </w:tc>
      </w:tr>
      <w:tr w:rsidR="000D409F" w:rsidRPr="00C3458E" w:rsidTr="008353C3">
        <w:trPr>
          <w:trHeight w:val="245"/>
        </w:trPr>
        <w:tc>
          <w:tcPr>
            <w:tcW w:w="9054" w:type="dxa"/>
            <w:gridSpan w:val="7"/>
          </w:tcPr>
          <w:p w:rsidR="008353C3" w:rsidRDefault="008353C3" w:rsidP="008353C3">
            <w:pPr>
              <w:jc w:val="both"/>
              <w:rPr>
                <w:rFonts w:ascii="Times New Roman" w:hAnsi="Times New Roman" w:cs="Times New Roman"/>
                <w:sz w:val="20"/>
                <w:szCs w:val="24"/>
                <w:lang w:val="es-MX"/>
              </w:rPr>
            </w:pPr>
          </w:p>
          <w:p w:rsidR="000D409F" w:rsidRDefault="000D409F" w:rsidP="008353C3">
            <w:pPr>
              <w:jc w:val="both"/>
              <w:rPr>
                <w:rFonts w:ascii="Times New Roman" w:hAnsi="Times New Roman" w:cs="Times New Roman"/>
                <w:sz w:val="20"/>
                <w:szCs w:val="24"/>
                <w:lang w:val="es-MX"/>
              </w:rPr>
            </w:pPr>
            <w:r w:rsidRPr="008353C3">
              <w:rPr>
                <w:rFonts w:ascii="Times New Roman" w:hAnsi="Times New Roman" w:cs="Times New Roman"/>
                <w:sz w:val="20"/>
                <w:szCs w:val="24"/>
                <w:lang w:val="es-MX"/>
              </w:rPr>
              <w:t xml:space="preserve">¿Cómo considera que sea la coyuntura actual de las empresas en el </w:t>
            </w:r>
            <w:r w:rsidR="008353C3" w:rsidRPr="008353C3">
              <w:rPr>
                <w:rFonts w:ascii="Times New Roman" w:hAnsi="Times New Roman" w:cs="Times New Roman"/>
                <w:sz w:val="20"/>
                <w:szCs w:val="24"/>
                <w:lang w:val="es-MX"/>
              </w:rPr>
              <w:t>país para efectuar inversiones?</w:t>
            </w:r>
          </w:p>
          <w:p w:rsidR="008353C3" w:rsidRPr="008353C3" w:rsidRDefault="008353C3" w:rsidP="008353C3">
            <w:pPr>
              <w:jc w:val="both"/>
              <w:rPr>
                <w:rFonts w:ascii="Times New Roman" w:hAnsi="Times New Roman" w:cs="Times New Roman"/>
                <w:sz w:val="20"/>
                <w:szCs w:val="24"/>
                <w:lang w:val="es-MX"/>
              </w:rPr>
            </w:pPr>
          </w:p>
        </w:tc>
      </w:tr>
      <w:tr w:rsidR="000D409F" w:rsidRPr="00C3458E" w:rsidTr="000D409F">
        <w:trPr>
          <w:trHeight w:val="525"/>
        </w:trPr>
        <w:tc>
          <w:tcPr>
            <w:tcW w:w="5028" w:type="dxa"/>
          </w:tcPr>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Buen momento</w:t>
            </w:r>
          </w:p>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No está seguro</w:t>
            </w:r>
          </w:p>
          <w:p w:rsidR="000D409F" w:rsidRPr="008353C3" w:rsidRDefault="000D409F" w:rsidP="008353C3">
            <w:pPr>
              <w:ind w:left="708"/>
              <w:rPr>
                <w:rFonts w:ascii="Times New Roman" w:hAnsi="Times New Roman" w:cs="Times New Roman"/>
                <w:sz w:val="20"/>
                <w:szCs w:val="24"/>
                <w:lang w:val="es-MX"/>
              </w:rPr>
            </w:pPr>
            <w:r w:rsidRPr="008353C3">
              <w:rPr>
                <w:rFonts w:ascii="Times New Roman" w:hAnsi="Times New Roman" w:cs="Times New Roman"/>
                <w:sz w:val="20"/>
                <w:szCs w:val="24"/>
                <w:lang w:val="es-MX"/>
              </w:rPr>
              <w:t>Mal momento</w:t>
            </w:r>
          </w:p>
        </w:tc>
        <w:tc>
          <w:tcPr>
            <w:tcW w:w="705"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28.6%</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71.4%</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0.0%</w:t>
            </w:r>
          </w:p>
        </w:tc>
        <w:tc>
          <w:tcPr>
            <w:tcW w:w="698"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35.7%</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50.0%</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14.3%</w:t>
            </w:r>
          </w:p>
        </w:tc>
        <w:tc>
          <w:tcPr>
            <w:tcW w:w="713"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53.8%</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38.5%</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7.7%</w:t>
            </w:r>
          </w:p>
        </w:tc>
        <w:tc>
          <w:tcPr>
            <w:tcW w:w="624"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27.3%</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63.6%</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9.1%</w:t>
            </w:r>
          </w:p>
        </w:tc>
        <w:tc>
          <w:tcPr>
            <w:tcW w:w="647"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40.0%</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60.0%</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0.0%</w:t>
            </w:r>
          </w:p>
        </w:tc>
        <w:tc>
          <w:tcPr>
            <w:tcW w:w="639" w:type="dxa"/>
          </w:tcPr>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21.4%</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64.3%</w:t>
            </w:r>
          </w:p>
          <w:p w:rsidR="000D409F" w:rsidRPr="008353C3" w:rsidRDefault="000D409F" w:rsidP="000D409F">
            <w:pPr>
              <w:jc w:val="center"/>
              <w:rPr>
                <w:rFonts w:ascii="Times New Roman" w:hAnsi="Times New Roman" w:cs="Times New Roman"/>
                <w:sz w:val="20"/>
                <w:szCs w:val="24"/>
                <w:lang w:val="es-MX"/>
              </w:rPr>
            </w:pPr>
            <w:r w:rsidRPr="008353C3">
              <w:rPr>
                <w:rFonts w:ascii="Times New Roman" w:hAnsi="Times New Roman" w:cs="Times New Roman"/>
                <w:sz w:val="20"/>
                <w:szCs w:val="24"/>
                <w:lang w:val="es-MX"/>
              </w:rPr>
              <w:t>14.3%</w:t>
            </w:r>
          </w:p>
        </w:tc>
      </w:tr>
    </w:tbl>
    <w:p w:rsidR="002238D7" w:rsidRPr="000D409F" w:rsidRDefault="002238D7" w:rsidP="000D409F">
      <w:pPr>
        <w:rPr>
          <w:rFonts w:ascii="Times New Roman" w:hAnsi="Times New Roman" w:cs="Times New Roman"/>
          <w:lang w:val="es-MX"/>
        </w:rPr>
      </w:pPr>
      <w:r w:rsidRPr="002E285A">
        <w:rPr>
          <w:rFonts w:ascii="Times New Roman" w:hAnsi="Times New Roman" w:cs="Times New Roman"/>
          <w:sz w:val="14"/>
          <w:lang w:val="es-MX"/>
        </w:rPr>
        <w:t xml:space="preserve">Fuente: Banco de Guatemala y Encuesta de Expectativas </w:t>
      </w:r>
      <w:r w:rsidR="00082DC7" w:rsidRPr="002E285A">
        <w:rPr>
          <w:rFonts w:ascii="Times New Roman" w:hAnsi="Times New Roman" w:cs="Times New Roman"/>
          <w:sz w:val="14"/>
          <w:lang w:val="es-MX"/>
        </w:rPr>
        <w:t>Económicas</w:t>
      </w:r>
      <w:r w:rsidRPr="002E285A">
        <w:rPr>
          <w:rFonts w:ascii="Times New Roman" w:hAnsi="Times New Roman" w:cs="Times New Roman"/>
          <w:sz w:val="14"/>
          <w:lang w:val="es-MX"/>
        </w:rPr>
        <w:t xml:space="preserve"> al Panel de Analistas Privados (EEE)</w:t>
      </w:r>
    </w:p>
    <w:p w:rsidR="002238D7" w:rsidRPr="00082DC7" w:rsidRDefault="00147E7A" w:rsidP="00082DC7">
      <w:pPr>
        <w:pStyle w:val="Ttulo2"/>
        <w:rPr>
          <w:rFonts w:ascii="Times New Roman" w:hAnsi="Times New Roman" w:cs="Times New Roman"/>
          <w:color w:val="auto"/>
          <w:sz w:val="24"/>
        </w:rPr>
      </w:pPr>
      <w:bookmarkStart w:id="9" w:name="_Toc457550825"/>
      <w:r w:rsidRPr="00082DC7">
        <w:rPr>
          <w:rFonts w:ascii="Times New Roman" w:hAnsi="Times New Roman" w:cs="Times New Roman"/>
          <w:color w:val="auto"/>
          <w:sz w:val="24"/>
        </w:rPr>
        <w:t xml:space="preserve">1.7   </w:t>
      </w:r>
      <w:r w:rsidR="002238D7" w:rsidRPr="00082DC7">
        <w:rPr>
          <w:rFonts w:ascii="Times New Roman" w:hAnsi="Times New Roman" w:cs="Times New Roman"/>
          <w:color w:val="auto"/>
          <w:sz w:val="24"/>
        </w:rPr>
        <w:t>Calificación de Riesgo País de Guatemala</w:t>
      </w:r>
      <w:bookmarkEnd w:id="9"/>
      <w:r w:rsidR="002238D7" w:rsidRPr="00082DC7">
        <w:rPr>
          <w:rFonts w:ascii="Times New Roman" w:hAnsi="Times New Roman" w:cs="Times New Roman"/>
          <w:color w:val="auto"/>
          <w:sz w:val="24"/>
        </w:rPr>
        <w:t xml:space="preserve"> </w:t>
      </w:r>
    </w:p>
    <w:p w:rsidR="002238D7" w:rsidRDefault="002238D7" w:rsidP="002238D7">
      <w:pPr>
        <w:jc w:val="both"/>
        <w:rPr>
          <w:rFonts w:ascii="Times New Roman" w:hAnsi="Times New Roman" w:cs="Times New Roman"/>
          <w:b/>
          <w:lang w:val="es-MX"/>
        </w:rPr>
      </w:pPr>
    </w:p>
    <w:p w:rsidR="002238D7" w:rsidRPr="000D409F" w:rsidRDefault="002238D7" w:rsidP="002238D7">
      <w:pPr>
        <w:jc w:val="both"/>
        <w:rPr>
          <w:rFonts w:ascii="Times New Roman" w:hAnsi="Times New Roman" w:cs="Times New Roman"/>
          <w:lang w:val="es-MX"/>
        </w:rPr>
      </w:pPr>
      <w:r w:rsidRPr="000D409F">
        <w:rPr>
          <w:rFonts w:ascii="Times New Roman" w:hAnsi="Times New Roman" w:cs="Times New Roman"/>
          <w:lang w:val="es-MX"/>
        </w:rPr>
        <w:t>Las agencias calificadoras de riesgo Fitch y Moody´s modificaron la calificación y perspectiva de deuda para Guatemala, resaltando:</w:t>
      </w:r>
    </w:p>
    <w:p w:rsidR="002238D7" w:rsidRPr="000D409F"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sidRPr="000D409F">
        <w:rPr>
          <w:rFonts w:ascii="Times New Roman" w:hAnsi="Times New Roman" w:cs="Times New Roman"/>
          <w:lang w:val="es-MX"/>
        </w:rPr>
        <w:t>Factores Positivos:</w:t>
      </w:r>
    </w:p>
    <w:p w:rsidR="008353C3" w:rsidRPr="000D409F" w:rsidRDefault="008353C3" w:rsidP="002238D7">
      <w:pPr>
        <w:jc w:val="both"/>
        <w:rPr>
          <w:rFonts w:ascii="Times New Roman" w:hAnsi="Times New Roman" w:cs="Times New Roman"/>
          <w:lang w:val="es-MX"/>
        </w:rPr>
      </w:pPr>
    </w:p>
    <w:p w:rsidR="002238D7" w:rsidRPr="000D409F" w:rsidRDefault="002238D7" w:rsidP="002238D7">
      <w:pPr>
        <w:pStyle w:val="Prrafodelista"/>
        <w:numPr>
          <w:ilvl w:val="0"/>
          <w:numId w:val="27"/>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Resiliencia macroeconómica y fiscal ante la crisis política</w:t>
      </w:r>
    </w:p>
    <w:p w:rsidR="002238D7" w:rsidRPr="000D409F" w:rsidRDefault="002238D7" w:rsidP="002238D7">
      <w:pPr>
        <w:pStyle w:val="Prrafodelista"/>
        <w:numPr>
          <w:ilvl w:val="0"/>
          <w:numId w:val="27"/>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Déficit fiscal moderado y déficit externo manejable</w:t>
      </w:r>
    </w:p>
    <w:p w:rsidR="002238D7" w:rsidRPr="000D409F" w:rsidRDefault="002238D7" w:rsidP="002238D7">
      <w:pPr>
        <w:pStyle w:val="Prrafodelista"/>
        <w:numPr>
          <w:ilvl w:val="0"/>
          <w:numId w:val="27"/>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Expectativas de inflación dentro de la meta</w:t>
      </w:r>
    </w:p>
    <w:p w:rsidR="002238D7" w:rsidRPr="000D409F" w:rsidRDefault="002238D7" w:rsidP="002238D7">
      <w:pPr>
        <w:pStyle w:val="Prrafodelista"/>
        <w:numPr>
          <w:ilvl w:val="0"/>
          <w:numId w:val="27"/>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Crecimiento en el crédito y en los volúmenes de exportaciones</w:t>
      </w:r>
    </w:p>
    <w:p w:rsidR="002238D7" w:rsidRPr="000D409F" w:rsidRDefault="002238D7" w:rsidP="002238D7">
      <w:pPr>
        <w:pStyle w:val="Prrafodelista"/>
        <w:numPr>
          <w:ilvl w:val="0"/>
          <w:numId w:val="27"/>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Tasas de inversión altas con perspectivas de crecimiento.</w:t>
      </w:r>
    </w:p>
    <w:p w:rsidR="002238D7" w:rsidRPr="000D409F"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sidRPr="000D409F">
        <w:rPr>
          <w:rFonts w:ascii="Times New Roman" w:hAnsi="Times New Roman" w:cs="Times New Roman"/>
          <w:lang w:val="es-MX"/>
        </w:rPr>
        <w:t>Factores de Riesgo</w:t>
      </w:r>
      <w:r w:rsidR="008353C3">
        <w:rPr>
          <w:rFonts w:ascii="Times New Roman" w:hAnsi="Times New Roman" w:cs="Times New Roman"/>
          <w:lang w:val="es-MX"/>
        </w:rPr>
        <w:t>:</w:t>
      </w:r>
    </w:p>
    <w:p w:rsidR="008353C3" w:rsidRPr="000D409F" w:rsidRDefault="008353C3" w:rsidP="002238D7">
      <w:pPr>
        <w:jc w:val="both"/>
        <w:rPr>
          <w:rFonts w:ascii="Times New Roman" w:hAnsi="Times New Roman" w:cs="Times New Roman"/>
          <w:lang w:val="es-MX"/>
        </w:rPr>
      </w:pPr>
    </w:p>
    <w:p w:rsidR="002238D7" w:rsidRPr="000D409F" w:rsidRDefault="002238D7" w:rsidP="002238D7">
      <w:pPr>
        <w:pStyle w:val="Prrafodelista"/>
        <w:numPr>
          <w:ilvl w:val="0"/>
          <w:numId w:val="28"/>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Instituciones débiles en espera que se fortalezca en la administración tributaria y el estado de derecho</w:t>
      </w:r>
    </w:p>
    <w:p w:rsidR="002238D7" w:rsidRPr="000D409F" w:rsidRDefault="002238D7" w:rsidP="002238D7">
      <w:pPr>
        <w:pStyle w:val="Prrafodelista"/>
        <w:numPr>
          <w:ilvl w:val="0"/>
          <w:numId w:val="28"/>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lastRenderedPageBreak/>
        <w:t>Las finanzas públicas demuestran baja carga tributaria, aunque ha existido un bajo déficit fiscal</w:t>
      </w:r>
    </w:p>
    <w:p w:rsidR="002238D7" w:rsidRPr="000D409F" w:rsidRDefault="002238D7" w:rsidP="002238D7">
      <w:pPr>
        <w:pStyle w:val="Prrafodelista"/>
        <w:numPr>
          <w:ilvl w:val="0"/>
          <w:numId w:val="28"/>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El gasto público es bajo y rígido, lo que limita al gobierno a hacerle frente a necesidades sociales</w:t>
      </w:r>
    </w:p>
    <w:p w:rsidR="002238D7" w:rsidRPr="000D409F" w:rsidRDefault="002238D7" w:rsidP="002238D7">
      <w:pPr>
        <w:pStyle w:val="Prrafodelista"/>
        <w:numPr>
          <w:ilvl w:val="0"/>
          <w:numId w:val="28"/>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La baja inversión pública en infraestructura, debilidades del capital humano y un alto nivel de delincuencia limita el potencial de crecimiento del PIB del país.</w:t>
      </w:r>
    </w:p>
    <w:p w:rsidR="002238D7" w:rsidRPr="000D409F" w:rsidRDefault="002238D7" w:rsidP="002238D7">
      <w:pPr>
        <w:pStyle w:val="Prrafodelista"/>
        <w:numPr>
          <w:ilvl w:val="0"/>
          <w:numId w:val="28"/>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La presión tributaria baja limita la capacidad de las autoridades para hacer frente a las apremiantes necesidades sociales y de infraestructura y llevar a cabo políticas anticíclicas.</w:t>
      </w:r>
    </w:p>
    <w:p w:rsidR="002238D7" w:rsidRPr="000D409F" w:rsidRDefault="002238D7" w:rsidP="002238D7">
      <w:pPr>
        <w:jc w:val="both"/>
        <w:rPr>
          <w:rFonts w:ascii="Times New Roman" w:hAnsi="Times New Roman" w:cs="Times New Roman"/>
          <w:lang w:val="es-MX"/>
        </w:rPr>
      </w:pPr>
    </w:p>
    <w:p w:rsidR="002238D7" w:rsidRDefault="002238D7" w:rsidP="002238D7">
      <w:pPr>
        <w:jc w:val="both"/>
        <w:rPr>
          <w:rFonts w:ascii="Times New Roman" w:hAnsi="Times New Roman" w:cs="Times New Roman"/>
          <w:lang w:val="es-MX"/>
        </w:rPr>
      </w:pPr>
      <w:r w:rsidRPr="000D409F">
        <w:rPr>
          <w:rFonts w:ascii="Times New Roman" w:hAnsi="Times New Roman" w:cs="Times New Roman"/>
          <w:lang w:val="es-MX"/>
        </w:rPr>
        <w:t>Retos</w:t>
      </w:r>
      <w:r w:rsidR="008353C3">
        <w:rPr>
          <w:rFonts w:ascii="Times New Roman" w:hAnsi="Times New Roman" w:cs="Times New Roman"/>
          <w:lang w:val="es-MX"/>
        </w:rPr>
        <w:t>:</w:t>
      </w:r>
    </w:p>
    <w:p w:rsidR="008353C3" w:rsidRPr="000D409F" w:rsidRDefault="008353C3" w:rsidP="002238D7">
      <w:pPr>
        <w:jc w:val="both"/>
        <w:rPr>
          <w:rFonts w:ascii="Times New Roman" w:hAnsi="Times New Roman" w:cs="Times New Roman"/>
          <w:lang w:val="es-MX"/>
        </w:rPr>
      </w:pPr>
    </w:p>
    <w:p w:rsidR="002238D7" w:rsidRPr="000D409F" w:rsidRDefault="002238D7" w:rsidP="002238D7">
      <w:pPr>
        <w:pStyle w:val="Prrafodelista"/>
        <w:numPr>
          <w:ilvl w:val="0"/>
          <w:numId w:val="29"/>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Reformas que fortalezcan las instituciones públicas</w:t>
      </w:r>
    </w:p>
    <w:p w:rsidR="002238D7" w:rsidRPr="000D409F" w:rsidRDefault="002238D7" w:rsidP="002238D7">
      <w:pPr>
        <w:pStyle w:val="Prrafodelista"/>
        <w:numPr>
          <w:ilvl w:val="0"/>
          <w:numId w:val="29"/>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Mejoras en la recaudación de impuestos y el proceso presupuestario que optimicen la flexibilidad de la política fiscal</w:t>
      </w:r>
    </w:p>
    <w:p w:rsidR="002238D7" w:rsidRPr="000D409F" w:rsidRDefault="002238D7" w:rsidP="002238D7">
      <w:pPr>
        <w:pStyle w:val="Prrafodelista"/>
        <w:numPr>
          <w:ilvl w:val="0"/>
          <w:numId w:val="29"/>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Mantener la estabilidad macroeconómica y financiera</w:t>
      </w:r>
    </w:p>
    <w:p w:rsidR="002238D7" w:rsidRPr="000D409F" w:rsidRDefault="002238D7" w:rsidP="002238D7">
      <w:pPr>
        <w:pStyle w:val="Prrafodelista"/>
        <w:numPr>
          <w:ilvl w:val="0"/>
          <w:numId w:val="29"/>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Avances en los indicadores de desarrollo humano y condiciones sociales y continuar sosteniendo la reducción de los niveles de criminalidad</w:t>
      </w:r>
    </w:p>
    <w:p w:rsidR="002238D7" w:rsidRPr="000D409F" w:rsidRDefault="002238D7" w:rsidP="002238D7">
      <w:pPr>
        <w:pStyle w:val="Prrafodelista"/>
        <w:numPr>
          <w:ilvl w:val="0"/>
          <w:numId w:val="29"/>
        </w:numPr>
        <w:jc w:val="both"/>
        <w:rPr>
          <w:rFonts w:ascii="Times New Roman" w:hAnsi="Times New Roman" w:cs="Times New Roman"/>
          <w:sz w:val="24"/>
          <w:szCs w:val="24"/>
          <w:lang w:val="es-MX"/>
        </w:rPr>
      </w:pPr>
      <w:r w:rsidRPr="000D409F">
        <w:rPr>
          <w:rFonts w:ascii="Times New Roman" w:hAnsi="Times New Roman" w:cs="Times New Roman"/>
          <w:sz w:val="24"/>
          <w:szCs w:val="24"/>
          <w:lang w:val="es-MX"/>
        </w:rPr>
        <w:t>Instituciones más fuertes, sobre todo Estado de derecho y control de la corrupción</w:t>
      </w:r>
    </w:p>
    <w:p w:rsidR="002238D7" w:rsidRDefault="002238D7" w:rsidP="002238D7">
      <w:pPr>
        <w:jc w:val="center"/>
        <w:rPr>
          <w:rFonts w:ascii="Times New Roman" w:hAnsi="Times New Roman" w:cs="Times New Roman"/>
          <w:b/>
          <w:lang w:val="es-MX"/>
        </w:rPr>
      </w:pPr>
    </w:p>
    <w:p w:rsidR="000D409F" w:rsidRPr="000D409F" w:rsidRDefault="000D409F" w:rsidP="002238D7">
      <w:pPr>
        <w:jc w:val="center"/>
        <w:rPr>
          <w:rFonts w:ascii="Times New Roman" w:hAnsi="Times New Roman" w:cs="Times New Roman"/>
          <w:b/>
          <w:lang w:val="es-MX"/>
        </w:rPr>
      </w:pPr>
    </w:p>
    <w:p w:rsidR="002238D7" w:rsidRPr="008353C3" w:rsidRDefault="002238D7" w:rsidP="002238D7">
      <w:pPr>
        <w:jc w:val="center"/>
        <w:rPr>
          <w:rFonts w:ascii="Times New Roman" w:hAnsi="Times New Roman" w:cs="Times New Roman"/>
          <w:b/>
          <w:lang w:val="es-MX"/>
        </w:rPr>
      </w:pPr>
      <w:r w:rsidRPr="008353C3">
        <w:rPr>
          <w:rFonts w:ascii="Times New Roman" w:hAnsi="Times New Roman" w:cs="Times New Roman"/>
          <w:b/>
          <w:lang w:val="es-MX"/>
        </w:rPr>
        <w:t xml:space="preserve">Calificación de Riesgo País de Guatemala </w:t>
      </w:r>
    </w:p>
    <w:p w:rsidR="002238D7" w:rsidRPr="008353C3" w:rsidRDefault="002238D7" w:rsidP="002238D7">
      <w:pPr>
        <w:jc w:val="center"/>
        <w:rPr>
          <w:rFonts w:ascii="Times New Roman" w:hAnsi="Times New Roman" w:cs="Times New Roman"/>
          <w:sz w:val="22"/>
          <w:lang w:val="es-MX"/>
        </w:rPr>
      </w:pPr>
      <w:r w:rsidRPr="008353C3">
        <w:rPr>
          <w:rFonts w:ascii="Times New Roman" w:hAnsi="Times New Roman" w:cs="Times New Roman"/>
          <w:sz w:val="22"/>
          <w:lang w:val="es-MX"/>
        </w:rPr>
        <w:t>Junio 2014 -  2016</w:t>
      </w:r>
    </w:p>
    <w:tbl>
      <w:tblPr>
        <w:tblStyle w:val="Tablaconcuadrcula"/>
        <w:tblW w:w="0" w:type="auto"/>
        <w:tblLayout w:type="fixed"/>
        <w:tblLook w:val="04A0" w:firstRow="1" w:lastRow="0" w:firstColumn="1" w:lastColumn="0" w:noHBand="0" w:noVBand="1"/>
      </w:tblPr>
      <w:tblGrid>
        <w:gridCol w:w="959"/>
        <w:gridCol w:w="992"/>
        <w:gridCol w:w="851"/>
        <w:gridCol w:w="850"/>
        <w:gridCol w:w="851"/>
        <w:gridCol w:w="850"/>
        <w:gridCol w:w="851"/>
        <w:gridCol w:w="992"/>
        <w:gridCol w:w="850"/>
        <w:gridCol w:w="851"/>
        <w:gridCol w:w="723"/>
      </w:tblGrid>
      <w:tr w:rsidR="002238D7" w:rsidRPr="002238D7" w:rsidTr="002238D7">
        <w:tc>
          <w:tcPr>
            <w:tcW w:w="959" w:type="dxa"/>
            <w:shd w:val="clear" w:color="auto" w:fill="8DB3E2" w:themeFill="text2" w:themeFillTint="66"/>
            <w:vAlign w:val="center"/>
          </w:tcPr>
          <w:p w:rsidR="002238D7" w:rsidRPr="002238D7" w:rsidRDefault="002238D7" w:rsidP="002238D7">
            <w:pPr>
              <w:jc w:val="center"/>
              <w:rPr>
                <w:rFonts w:ascii="Times New Roman" w:hAnsi="Times New Roman" w:cs="Times New Roman"/>
                <w:sz w:val="18"/>
                <w:lang w:val="es-MX"/>
              </w:rPr>
            </w:pPr>
          </w:p>
        </w:tc>
        <w:tc>
          <w:tcPr>
            <w:tcW w:w="992"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851"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4"/>
                <w:szCs w:val="19"/>
                <w:lang w:val="es-MX"/>
              </w:rPr>
            </w:pPr>
            <w:r w:rsidRPr="002238D7">
              <w:rPr>
                <w:rFonts w:ascii="Times New Roman" w:hAnsi="Times New Roman" w:cs="Times New Roman"/>
                <w:b/>
                <w:sz w:val="14"/>
                <w:szCs w:val="19"/>
                <w:lang w:val="es-MX"/>
              </w:rPr>
              <w:t>Junio 2014</w:t>
            </w:r>
          </w:p>
        </w:tc>
        <w:tc>
          <w:tcPr>
            <w:tcW w:w="850"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4"/>
                <w:szCs w:val="19"/>
                <w:lang w:val="es-MX"/>
              </w:rPr>
            </w:pPr>
            <w:r w:rsidRPr="002238D7">
              <w:rPr>
                <w:rFonts w:ascii="Times New Roman" w:hAnsi="Times New Roman" w:cs="Times New Roman"/>
                <w:b/>
                <w:sz w:val="12"/>
                <w:szCs w:val="12"/>
                <w:lang w:val="es-MX"/>
              </w:rPr>
              <w:t>Septiembre</w:t>
            </w:r>
            <w:r w:rsidRPr="002238D7">
              <w:rPr>
                <w:rFonts w:ascii="Times New Roman" w:hAnsi="Times New Roman" w:cs="Times New Roman"/>
                <w:b/>
                <w:sz w:val="14"/>
                <w:szCs w:val="19"/>
                <w:lang w:val="es-MX"/>
              </w:rPr>
              <w:t xml:space="preserve"> 2014</w:t>
            </w:r>
          </w:p>
        </w:tc>
        <w:tc>
          <w:tcPr>
            <w:tcW w:w="851"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4"/>
                <w:szCs w:val="19"/>
                <w:lang w:val="es-MX"/>
              </w:rPr>
            </w:pPr>
            <w:r w:rsidRPr="002238D7">
              <w:rPr>
                <w:rFonts w:ascii="Times New Roman" w:hAnsi="Times New Roman" w:cs="Times New Roman"/>
                <w:b/>
                <w:sz w:val="14"/>
                <w:szCs w:val="19"/>
                <w:lang w:val="es-MX"/>
              </w:rPr>
              <w:t>Diciembre 2014</w:t>
            </w:r>
          </w:p>
        </w:tc>
        <w:tc>
          <w:tcPr>
            <w:tcW w:w="850"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4"/>
                <w:szCs w:val="19"/>
                <w:lang w:val="es-MX"/>
              </w:rPr>
            </w:pPr>
            <w:r w:rsidRPr="002238D7">
              <w:rPr>
                <w:rFonts w:ascii="Times New Roman" w:hAnsi="Times New Roman" w:cs="Times New Roman"/>
                <w:b/>
                <w:sz w:val="14"/>
                <w:szCs w:val="19"/>
                <w:lang w:val="es-MX"/>
              </w:rPr>
              <w:t>Marzo 2015</w:t>
            </w:r>
          </w:p>
        </w:tc>
        <w:tc>
          <w:tcPr>
            <w:tcW w:w="851"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4"/>
                <w:szCs w:val="19"/>
                <w:lang w:val="es-MX"/>
              </w:rPr>
            </w:pPr>
            <w:r w:rsidRPr="002238D7">
              <w:rPr>
                <w:rFonts w:ascii="Times New Roman" w:hAnsi="Times New Roman" w:cs="Times New Roman"/>
                <w:b/>
                <w:sz w:val="14"/>
                <w:szCs w:val="19"/>
                <w:lang w:val="es-MX"/>
              </w:rPr>
              <w:t>Junio 2015</w:t>
            </w:r>
          </w:p>
        </w:tc>
        <w:tc>
          <w:tcPr>
            <w:tcW w:w="992"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4"/>
                <w:szCs w:val="19"/>
                <w:lang w:val="es-MX"/>
              </w:rPr>
            </w:pPr>
            <w:r w:rsidRPr="002238D7">
              <w:rPr>
                <w:rFonts w:ascii="Times New Roman" w:hAnsi="Times New Roman" w:cs="Times New Roman"/>
                <w:b/>
                <w:sz w:val="14"/>
                <w:szCs w:val="19"/>
                <w:lang w:val="es-MX"/>
              </w:rPr>
              <w:t>Septiembre 2015</w:t>
            </w:r>
          </w:p>
        </w:tc>
        <w:tc>
          <w:tcPr>
            <w:tcW w:w="850"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4"/>
                <w:szCs w:val="19"/>
                <w:lang w:val="es-MX"/>
              </w:rPr>
            </w:pPr>
            <w:r w:rsidRPr="002238D7">
              <w:rPr>
                <w:rFonts w:ascii="Times New Roman" w:hAnsi="Times New Roman" w:cs="Times New Roman"/>
                <w:b/>
                <w:sz w:val="12"/>
                <w:szCs w:val="12"/>
                <w:lang w:val="es-MX"/>
              </w:rPr>
              <w:t xml:space="preserve">Diciembre </w:t>
            </w:r>
            <w:r w:rsidRPr="002238D7">
              <w:rPr>
                <w:rFonts w:ascii="Times New Roman" w:hAnsi="Times New Roman" w:cs="Times New Roman"/>
                <w:b/>
                <w:sz w:val="14"/>
                <w:szCs w:val="19"/>
                <w:lang w:val="es-MX"/>
              </w:rPr>
              <w:t>2015</w:t>
            </w:r>
          </w:p>
        </w:tc>
        <w:tc>
          <w:tcPr>
            <w:tcW w:w="851" w:type="dxa"/>
            <w:shd w:val="clear" w:color="auto" w:fill="8DB3E2" w:themeFill="text2" w:themeFillTint="66"/>
          </w:tcPr>
          <w:p w:rsidR="002238D7" w:rsidRPr="002238D7" w:rsidRDefault="002238D7" w:rsidP="002238D7">
            <w:pPr>
              <w:jc w:val="center"/>
              <w:rPr>
                <w:rFonts w:ascii="Times New Roman" w:hAnsi="Times New Roman" w:cs="Times New Roman"/>
                <w:b/>
                <w:sz w:val="14"/>
                <w:szCs w:val="19"/>
                <w:lang w:val="es-MX"/>
              </w:rPr>
            </w:pPr>
            <w:r w:rsidRPr="002238D7">
              <w:rPr>
                <w:rFonts w:ascii="Times New Roman" w:hAnsi="Times New Roman" w:cs="Times New Roman"/>
                <w:b/>
                <w:sz w:val="14"/>
                <w:szCs w:val="19"/>
                <w:lang w:val="es-MX"/>
              </w:rPr>
              <w:t>Marzo 2016</w:t>
            </w:r>
          </w:p>
        </w:tc>
        <w:tc>
          <w:tcPr>
            <w:tcW w:w="723" w:type="dxa"/>
            <w:shd w:val="clear" w:color="auto" w:fill="8DB3E2" w:themeFill="text2" w:themeFillTint="66"/>
          </w:tcPr>
          <w:p w:rsidR="002238D7" w:rsidRPr="002238D7" w:rsidRDefault="002238D7" w:rsidP="002238D7">
            <w:pPr>
              <w:jc w:val="center"/>
              <w:rPr>
                <w:rFonts w:ascii="Times New Roman" w:hAnsi="Times New Roman" w:cs="Times New Roman"/>
                <w:b/>
                <w:sz w:val="14"/>
                <w:szCs w:val="19"/>
                <w:lang w:val="es-MX"/>
              </w:rPr>
            </w:pPr>
            <w:r w:rsidRPr="002238D7">
              <w:rPr>
                <w:rFonts w:ascii="Times New Roman" w:hAnsi="Times New Roman" w:cs="Times New Roman"/>
                <w:b/>
                <w:sz w:val="14"/>
                <w:szCs w:val="19"/>
                <w:lang w:val="es-MX"/>
              </w:rPr>
              <w:t>Junio 2016</w:t>
            </w:r>
          </w:p>
        </w:tc>
      </w:tr>
      <w:tr w:rsidR="002238D7" w:rsidTr="002238D7">
        <w:tc>
          <w:tcPr>
            <w:tcW w:w="959" w:type="dxa"/>
            <w:shd w:val="clear" w:color="auto" w:fill="8DB3E2" w:themeFill="text2" w:themeFillTint="66"/>
            <w:vAlign w:val="center"/>
          </w:tcPr>
          <w:p w:rsidR="002238D7" w:rsidRPr="002238D7" w:rsidRDefault="002238D7" w:rsidP="002238D7">
            <w:pPr>
              <w:jc w:val="center"/>
              <w:rPr>
                <w:rFonts w:ascii="Times New Roman" w:hAnsi="Times New Roman" w:cs="Times New Roman"/>
                <w:lang w:val="es-MX"/>
              </w:rPr>
            </w:pPr>
          </w:p>
        </w:tc>
        <w:tc>
          <w:tcPr>
            <w:tcW w:w="7087" w:type="dxa"/>
            <w:gridSpan w:val="8"/>
            <w:vAlign w:val="center"/>
          </w:tcPr>
          <w:p w:rsidR="002238D7" w:rsidRDefault="002238D7" w:rsidP="002238D7">
            <w:pPr>
              <w:jc w:val="center"/>
              <w:rPr>
                <w:rFonts w:ascii="Times New Roman" w:hAnsi="Times New Roman" w:cs="Times New Roman"/>
                <w:lang w:val="es-MX"/>
              </w:rPr>
            </w:pPr>
          </w:p>
        </w:tc>
        <w:tc>
          <w:tcPr>
            <w:tcW w:w="851" w:type="dxa"/>
            <w:vAlign w:val="center"/>
          </w:tcPr>
          <w:p w:rsidR="002238D7" w:rsidRDefault="002238D7" w:rsidP="002238D7">
            <w:pPr>
              <w:jc w:val="center"/>
              <w:rPr>
                <w:rFonts w:ascii="Times New Roman" w:hAnsi="Times New Roman" w:cs="Times New Roman"/>
                <w:lang w:val="es-MX"/>
              </w:rPr>
            </w:pPr>
          </w:p>
        </w:tc>
        <w:tc>
          <w:tcPr>
            <w:tcW w:w="723" w:type="dxa"/>
            <w:vAlign w:val="center"/>
          </w:tcPr>
          <w:p w:rsidR="002238D7" w:rsidRDefault="002238D7" w:rsidP="002238D7">
            <w:pPr>
              <w:jc w:val="center"/>
              <w:rPr>
                <w:rFonts w:ascii="Times New Roman" w:hAnsi="Times New Roman" w:cs="Times New Roman"/>
                <w:lang w:val="es-MX"/>
              </w:rPr>
            </w:pPr>
          </w:p>
        </w:tc>
      </w:tr>
      <w:tr w:rsidR="002238D7" w:rsidTr="002238D7">
        <w:trPr>
          <w:trHeight w:val="279"/>
        </w:trPr>
        <w:tc>
          <w:tcPr>
            <w:tcW w:w="959" w:type="dxa"/>
            <w:vMerge w:val="restart"/>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r w:rsidRPr="002238D7">
              <w:rPr>
                <w:rFonts w:ascii="Times New Roman" w:hAnsi="Times New Roman" w:cs="Times New Roman"/>
                <w:b/>
                <w:sz w:val="18"/>
                <w:lang w:val="es-MX"/>
              </w:rPr>
              <w:t>Fitch Ratings</w:t>
            </w:r>
          </w:p>
        </w:tc>
        <w:tc>
          <w:tcPr>
            <w:tcW w:w="992"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lang w:val="es-MX"/>
              </w:rPr>
            </w:pPr>
            <w:r w:rsidRPr="00994DBB">
              <w:rPr>
                <w:rFonts w:ascii="Times New Roman" w:hAnsi="Times New Roman" w:cs="Times New Roman"/>
                <w:sz w:val="14"/>
                <w:lang w:val="es-MX"/>
              </w:rPr>
              <w:t>Calificación</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BB+</w:t>
            </w:r>
          </w:p>
        </w:tc>
        <w:tc>
          <w:tcPr>
            <w:tcW w:w="850"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BB</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BB</w:t>
            </w:r>
          </w:p>
        </w:tc>
        <w:tc>
          <w:tcPr>
            <w:tcW w:w="850"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BB</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BB</w:t>
            </w:r>
          </w:p>
        </w:tc>
        <w:tc>
          <w:tcPr>
            <w:tcW w:w="992"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BB</w:t>
            </w:r>
          </w:p>
        </w:tc>
        <w:tc>
          <w:tcPr>
            <w:tcW w:w="850"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BB</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BB</w:t>
            </w:r>
          </w:p>
        </w:tc>
        <w:tc>
          <w:tcPr>
            <w:tcW w:w="723" w:type="dxa"/>
            <w:shd w:val="clear" w:color="auto" w:fill="4F81BD" w:themeFill="accent1"/>
            <w:vAlign w:val="center"/>
          </w:tcPr>
          <w:p w:rsidR="002238D7" w:rsidRPr="0087780E" w:rsidRDefault="002238D7" w:rsidP="002238D7">
            <w:pPr>
              <w:jc w:val="center"/>
              <w:rPr>
                <w:rFonts w:ascii="Times New Roman" w:hAnsi="Times New Roman" w:cs="Times New Roman"/>
                <w:b/>
                <w:color w:val="FDE9D9" w:themeColor="accent6" w:themeTint="33"/>
                <w:sz w:val="14"/>
                <w:szCs w:val="14"/>
                <w:lang w:val="es-MX"/>
              </w:rPr>
            </w:pPr>
            <w:r w:rsidRPr="0087780E">
              <w:rPr>
                <w:rFonts w:ascii="Times New Roman" w:hAnsi="Times New Roman" w:cs="Times New Roman"/>
                <w:b/>
                <w:color w:val="FDE9D9" w:themeColor="accent6" w:themeTint="33"/>
                <w:sz w:val="14"/>
                <w:szCs w:val="14"/>
                <w:lang w:val="es-MX"/>
              </w:rPr>
              <w:t>BB</w:t>
            </w:r>
          </w:p>
        </w:tc>
      </w:tr>
      <w:tr w:rsidR="002238D7" w:rsidTr="002238D7">
        <w:trPr>
          <w:trHeight w:val="270"/>
        </w:trPr>
        <w:tc>
          <w:tcPr>
            <w:tcW w:w="959" w:type="dxa"/>
            <w:vMerge/>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992" w:type="dxa"/>
            <w:vAlign w:val="center"/>
          </w:tcPr>
          <w:p w:rsidR="002238D7" w:rsidRPr="00994DBB" w:rsidRDefault="002238D7" w:rsidP="002238D7">
            <w:pPr>
              <w:jc w:val="center"/>
              <w:rPr>
                <w:rFonts w:ascii="Times New Roman" w:hAnsi="Times New Roman" w:cs="Times New Roman"/>
                <w:sz w:val="14"/>
                <w:lang w:val="es-MX"/>
              </w:rPr>
            </w:pPr>
            <w:r w:rsidRPr="00994DBB">
              <w:rPr>
                <w:rFonts w:ascii="Times New Roman" w:hAnsi="Times New Roman" w:cs="Times New Roman"/>
                <w:sz w:val="14"/>
                <w:lang w:val="es-MX"/>
              </w:rPr>
              <w:t>Perspectiva</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Negativa</w:t>
            </w:r>
          </w:p>
        </w:tc>
        <w:tc>
          <w:tcPr>
            <w:tcW w:w="850"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0"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992"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0"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723" w:type="dxa"/>
            <w:shd w:val="clear" w:color="auto" w:fill="4F81BD" w:themeFill="accent1"/>
            <w:vAlign w:val="center"/>
          </w:tcPr>
          <w:p w:rsidR="002238D7" w:rsidRPr="0087780E" w:rsidRDefault="002238D7" w:rsidP="002238D7">
            <w:pPr>
              <w:jc w:val="center"/>
              <w:rPr>
                <w:rFonts w:ascii="Times New Roman" w:hAnsi="Times New Roman" w:cs="Times New Roman"/>
                <w:b/>
                <w:color w:val="FDE9D9" w:themeColor="accent6" w:themeTint="33"/>
                <w:sz w:val="14"/>
                <w:szCs w:val="14"/>
                <w:lang w:val="es-MX"/>
              </w:rPr>
            </w:pPr>
            <w:r w:rsidRPr="0087780E">
              <w:rPr>
                <w:rFonts w:ascii="Times New Roman" w:hAnsi="Times New Roman" w:cs="Times New Roman"/>
                <w:b/>
                <w:color w:val="FDE9D9" w:themeColor="accent6" w:themeTint="33"/>
                <w:sz w:val="14"/>
                <w:szCs w:val="14"/>
                <w:lang w:val="es-MX"/>
              </w:rPr>
              <w:t>Estable</w:t>
            </w:r>
          </w:p>
        </w:tc>
      </w:tr>
      <w:tr w:rsidR="002238D7" w:rsidTr="002238D7">
        <w:tc>
          <w:tcPr>
            <w:tcW w:w="959"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7087" w:type="dxa"/>
            <w:gridSpan w:val="8"/>
            <w:vAlign w:val="center"/>
          </w:tcPr>
          <w:p w:rsidR="002238D7" w:rsidRPr="00994DBB" w:rsidRDefault="002238D7" w:rsidP="002238D7">
            <w:pPr>
              <w:jc w:val="center"/>
              <w:rPr>
                <w:rFonts w:ascii="Times New Roman" w:hAnsi="Times New Roman" w:cs="Times New Roman"/>
                <w:sz w:val="14"/>
                <w:szCs w:val="14"/>
                <w:lang w:val="es-MX"/>
              </w:rPr>
            </w:pP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p>
        </w:tc>
        <w:tc>
          <w:tcPr>
            <w:tcW w:w="723" w:type="dxa"/>
            <w:shd w:val="clear" w:color="auto" w:fill="auto"/>
            <w:vAlign w:val="center"/>
          </w:tcPr>
          <w:p w:rsidR="002238D7" w:rsidRPr="0087780E" w:rsidRDefault="002238D7" w:rsidP="002238D7">
            <w:pPr>
              <w:jc w:val="center"/>
              <w:rPr>
                <w:rFonts w:ascii="Times New Roman" w:hAnsi="Times New Roman" w:cs="Times New Roman"/>
                <w:b/>
                <w:color w:val="FDE9D9" w:themeColor="accent6" w:themeTint="33"/>
                <w:sz w:val="14"/>
                <w:szCs w:val="14"/>
                <w:lang w:val="es-MX"/>
              </w:rPr>
            </w:pPr>
          </w:p>
        </w:tc>
      </w:tr>
      <w:tr w:rsidR="002238D7" w:rsidTr="002238D7">
        <w:trPr>
          <w:trHeight w:val="331"/>
        </w:trPr>
        <w:tc>
          <w:tcPr>
            <w:tcW w:w="959" w:type="dxa"/>
            <w:vMerge w:val="restart"/>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r w:rsidRPr="002238D7">
              <w:rPr>
                <w:rFonts w:ascii="Times New Roman" w:hAnsi="Times New Roman" w:cs="Times New Roman"/>
                <w:b/>
                <w:sz w:val="18"/>
                <w:lang w:val="es-MX"/>
              </w:rPr>
              <w:t>Moody´s Investor</w:t>
            </w:r>
          </w:p>
        </w:tc>
        <w:tc>
          <w:tcPr>
            <w:tcW w:w="992"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lang w:val="es-MX"/>
              </w:rPr>
            </w:pPr>
            <w:r w:rsidRPr="00994DBB">
              <w:rPr>
                <w:rFonts w:ascii="Times New Roman" w:hAnsi="Times New Roman" w:cs="Times New Roman"/>
                <w:sz w:val="14"/>
                <w:lang w:val="es-MX"/>
              </w:rPr>
              <w:t>Calificación</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Ba1</w:t>
            </w:r>
          </w:p>
        </w:tc>
        <w:tc>
          <w:tcPr>
            <w:tcW w:w="850"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Ba1</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Ba1</w:t>
            </w:r>
          </w:p>
        </w:tc>
        <w:tc>
          <w:tcPr>
            <w:tcW w:w="850"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Ba1</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Ba1</w:t>
            </w:r>
          </w:p>
        </w:tc>
        <w:tc>
          <w:tcPr>
            <w:tcW w:w="992"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Ba1</w:t>
            </w:r>
          </w:p>
        </w:tc>
        <w:tc>
          <w:tcPr>
            <w:tcW w:w="850"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Ba1</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Ba1</w:t>
            </w:r>
          </w:p>
        </w:tc>
        <w:tc>
          <w:tcPr>
            <w:tcW w:w="723" w:type="dxa"/>
            <w:shd w:val="clear" w:color="auto" w:fill="4F81BD" w:themeFill="accent1"/>
            <w:vAlign w:val="center"/>
          </w:tcPr>
          <w:p w:rsidR="002238D7" w:rsidRPr="0087780E" w:rsidRDefault="002238D7" w:rsidP="002238D7">
            <w:pPr>
              <w:jc w:val="center"/>
              <w:rPr>
                <w:rFonts w:ascii="Times New Roman" w:hAnsi="Times New Roman" w:cs="Times New Roman"/>
                <w:b/>
                <w:color w:val="FDE9D9" w:themeColor="accent6" w:themeTint="33"/>
                <w:sz w:val="14"/>
                <w:szCs w:val="14"/>
                <w:lang w:val="es-MX"/>
              </w:rPr>
            </w:pPr>
            <w:r w:rsidRPr="0087780E">
              <w:rPr>
                <w:rFonts w:ascii="Times New Roman" w:hAnsi="Times New Roman" w:cs="Times New Roman"/>
                <w:b/>
                <w:color w:val="FDE9D9" w:themeColor="accent6" w:themeTint="33"/>
                <w:sz w:val="14"/>
                <w:szCs w:val="14"/>
                <w:lang w:val="es-MX"/>
              </w:rPr>
              <w:t>Ba1</w:t>
            </w:r>
          </w:p>
        </w:tc>
      </w:tr>
      <w:tr w:rsidR="002238D7" w:rsidTr="002238D7">
        <w:trPr>
          <w:trHeight w:val="279"/>
        </w:trPr>
        <w:tc>
          <w:tcPr>
            <w:tcW w:w="959" w:type="dxa"/>
            <w:vMerge/>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992" w:type="dxa"/>
            <w:vAlign w:val="center"/>
          </w:tcPr>
          <w:p w:rsidR="002238D7" w:rsidRPr="00994DBB" w:rsidRDefault="002238D7" w:rsidP="002238D7">
            <w:pPr>
              <w:jc w:val="center"/>
              <w:rPr>
                <w:rFonts w:ascii="Times New Roman" w:hAnsi="Times New Roman" w:cs="Times New Roman"/>
                <w:sz w:val="14"/>
                <w:lang w:val="es-MX"/>
              </w:rPr>
            </w:pPr>
            <w:r w:rsidRPr="00994DBB">
              <w:rPr>
                <w:rFonts w:ascii="Times New Roman" w:hAnsi="Times New Roman" w:cs="Times New Roman"/>
                <w:sz w:val="14"/>
                <w:lang w:val="es-MX"/>
              </w:rPr>
              <w:t>Perspectiva</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0"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0"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Negativa</w:t>
            </w:r>
          </w:p>
        </w:tc>
        <w:tc>
          <w:tcPr>
            <w:tcW w:w="992"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Negativa</w:t>
            </w:r>
          </w:p>
        </w:tc>
        <w:tc>
          <w:tcPr>
            <w:tcW w:w="850"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Negativa</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Negativa</w:t>
            </w:r>
          </w:p>
        </w:tc>
        <w:tc>
          <w:tcPr>
            <w:tcW w:w="723" w:type="dxa"/>
            <w:shd w:val="clear" w:color="auto" w:fill="4F81BD" w:themeFill="accent1"/>
            <w:vAlign w:val="center"/>
          </w:tcPr>
          <w:p w:rsidR="002238D7" w:rsidRPr="0087780E" w:rsidRDefault="002238D7" w:rsidP="002238D7">
            <w:pPr>
              <w:jc w:val="center"/>
              <w:rPr>
                <w:rFonts w:ascii="Times New Roman" w:hAnsi="Times New Roman" w:cs="Times New Roman"/>
                <w:b/>
                <w:color w:val="FDE9D9" w:themeColor="accent6" w:themeTint="33"/>
                <w:sz w:val="14"/>
                <w:szCs w:val="14"/>
                <w:lang w:val="es-MX"/>
              </w:rPr>
            </w:pPr>
            <w:r w:rsidRPr="0087780E">
              <w:rPr>
                <w:rFonts w:ascii="Times New Roman" w:hAnsi="Times New Roman" w:cs="Times New Roman"/>
                <w:b/>
                <w:color w:val="FDE9D9" w:themeColor="accent6" w:themeTint="33"/>
                <w:sz w:val="14"/>
                <w:szCs w:val="14"/>
                <w:lang w:val="es-MX"/>
              </w:rPr>
              <w:t>Estable</w:t>
            </w:r>
          </w:p>
        </w:tc>
      </w:tr>
      <w:tr w:rsidR="002238D7" w:rsidTr="002238D7">
        <w:tc>
          <w:tcPr>
            <w:tcW w:w="959" w:type="dxa"/>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p>
        </w:tc>
        <w:tc>
          <w:tcPr>
            <w:tcW w:w="7087" w:type="dxa"/>
            <w:gridSpan w:val="8"/>
            <w:vAlign w:val="center"/>
          </w:tcPr>
          <w:p w:rsidR="002238D7" w:rsidRPr="00994DBB" w:rsidRDefault="002238D7" w:rsidP="002238D7">
            <w:pPr>
              <w:jc w:val="center"/>
              <w:rPr>
                <w:rFonts w:ascii="Times New Roman" w:hAnsi="Times New Roman" w:cs="Times New Roman"/>
                <w:sz w:val="14"/>
                <w:szCs w:val="14"/>
                <w:lang w:val="es-MX"/>
              </w:rPr>
            </w:pP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p>
        </w:tc>
        <w:tc>
          <w:tcPr>
            <w:tcW w:w="723" w:type="dxa"/>
            <w:vAlign w:val="center"/>
          </w:tcPr>
          <w:p w:rsidR="002238D7" w:rsidRPr="00994DBB" w:rsidRDefault="002238D7" w:rsidP="002238D7">
            <w:pPr>
              <w:jc w:val="center"/>
              <w:rPr>
                <w:rFonts w:ascii="Times New Roman" w:hAnsi="Times New Roman" w:cs="Times New Roman"/>
                <w:sz w:val="14"/>
                <w:szCs w:val="14"/>
                <w:lang w:val="es-MX"/>
              </w:rPr>
            </w:pPr>
          </w:p>
        </w:tc>
      </w:tr>
      <w:tr w:rsidR="002238D7" w:rsidTr="002238D7">
        <w:trPr>
          <w:trHeight w:val="345"/>
        </w:trPr>
        <w:tc>
          <w:tcPr>
            <w:tcW w:w="959" w:type="dxa"/>
            <w:vMerge w:val="restart"/>
            <w:shd w:val="clear" w:color="auto" w:fill="8DB3E2" w:themeFill="text2" w:themeFillTint="66"/>
            <w:vAlign w:val="center"/>
          </w:tcPr>
          <w:p w:rsidR="002238D7" w:rsidRPr="002238D7" w:rsidRDefault="002238D7" w:rsidP="002238D7">
            <w:pPr>
              <w:jc w:val="center"/>
              <w:rPr>
                <w:rFonts w:ascii="Times New Roman" w:hAnsi="Times New Roman" w:cs="Times New Roman"/>
                <w:b/>
                <w:sz w:val="18"/>
                <w:lang w:val="es-MX"/>
              </w:rPr>
            </w:pPr>
            <w:r w:rsidRPr="002238D7">
              <w:rPr>
                <w:rFonts w:ascii="Times New Roman" w:hAnsi="Times New Roman" w:cs="Times New Roman"/>
                <w:b/>
                <w:sz w:val="18"/>
                <w:lang w:val="es-MX"/>
              </w:rPr>
              <w:t>Standard and Poor´s</w:t>
            </w:r>
          </w:p>
        </w:tc>
        <w:tc>
          <w:tcPr>
            <w:tcW w:w="992"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lang w:val="es-MX"/>
              </w:rPr>
            </w:pPr>
            <w:r w:rsidRPr="00994DBB">
              <w:rPr>
                <w:rFonts w:ascii="Times New Roman" w:hAnsi="Times New Roman" w:cs="Times New Roman"/>
                <w:sz w:val="14"/>
                <w:lang w:val="es-MX"/>
              </w:rPr>
              <w:t>Calificación</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BB</w:t>
            </w:r>
          </w:p>
        </w:tc>
        <w:tc>
          <w:tcPr>
            <w:tcW w:w="850"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BB</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BB</w:t>
            </w:r>
          </w:p>
        </w:tc>
        <w:tc>
          <w:tcPr>
            <w:tcW w:w="850"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BB</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BB</w:t>
            </w:r>
          </w:p>
        </w:tc>
        <w:tc>
          <w:tcPr>
            <w:tcW w:w="992"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BB</w:t>
            </w:r>
          </w:p>
        </w:tc>
        <w:tc>
          <w:tcPr>
            <w:tcW w:w="850"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BB</w:t>
            </w:r>
          </w:p>
        </w:tc>
        <w:tc>
          <w:tcPr>
            <w:tcW w:w="851" w:type="dxa"/>
            <w:shd w:val="clear" w:color="auto" w:fill="D9D9D9" w:themeFill="background1" w:themeFillShade="D9"/>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BB</w:t>
            </w:r>
          </w:p>
        </w:tc>
        <w:tc>
          <w:tcPr>
            <w:tcW w:w="723" w:type="dxa"/>
            <w:shd w:val="clear" w:color="auto" w:fill="4F81BD" w:themeFill="accent1"/>
            <w:vAlign w:val="center"/>
          </w:tcPr>
          <w:p w:rsidR="002238D7" w:rsidRPr="0087780E" w:rsidRDefault="002238D7" w:rsidP="002238D7">
            <w:pPr>
              <w:jc w:val="center"/>
              <w:rPr>
                <w:rFonts w:ascii="Times New Roman" w:hAnsi="Times New Roman" w:cs="Times New Roman"/>
                <w:b/>
                <w:color w:val="FDE9D9" w:themeColor="accent6" w:themeTint="33"/>
                <w:sz w:val="14"/>
                <w:szCs w:val="14"/>
                <w:lang w:val="es-MX"/>
              </w:rPr>
            </w:pPr>
            <w:r w:rsidRPr="0087780E">
              <w:rPr>
                <w:rFonts w:ascii="Times New Roman" w:hAnsi="Times New Roman" w:cs="Times New Roman"/>
                <w:b/>
                <w:color w:val="FDE9D9" w:themeColor="accent6" w:themeTint="33"/>
                <w:sz w:val="14"/>
                <w:szCs w:val="14"/>
                <w:lang w:val="es-MX"/>
              </w:rPr>
              <w:t>BB</w:t>
            </w:r>
          </w:p>
        </w:tc>
      </w:tr>
      <w:tr w:rsidR="002238D7" w:rsidTr="002238D7">
        <w:trPr>
          <w:trHeight w:val="263"/>
        </w:trPr>
        <w:tc>
          <w:tcPr>
            <w:tcW w:w="959" w:type="dxa"/>
            <w:vMerge/>
            <w:shd w:val="clear" w:color="auto" w:fill="8DB3E2" w:themeFill="text2" w:themeFillTint="66"/>
            <w:vAlign w:val="center"/>
          </w:tcPr>
          <w:p w:rsidR="002238D7" w:rsidRPr="002238D7" w:rsidRDefault="002238D7" w:rsidP="002238D7">
            <w:pPr>
              <w:jc w:val="center"/>
              <w:rPr>
                <w:rFonts w:ascii="Times New Roman" w:hAnsi="Times New Roman" w:cs="Times New Roman"/>
                <w:lang w:val="es-MX"/>
              </w:rPr>
            </w:pPr>
          </w:p>
        </w:tc>
        <w:tc>
          <w:tcPr>
            <w:tcW w:w="992" w:type="dxa"/>
            <w:vAlign w:val="center"/>
          </w:tcPr>
          <w:p w:rsidR="002238D7" w:rsidRPr="00994DBB" w:rsidRDefault="002238D7" w:rsidP="002238D7">
            <w:pPr>
              <w:jc w:val="center"/>
              <w:rPr>
                <w:rFonts w:ascii="Times New Roman" w:hAnsi="Times New Roman" w:cs="Times New Roman"/>
                <w:sz w:val="14"/>
                <w:lang w:val="es-MX"/>
              </w:rPr>
            </w:pPr>
            <w:r w:rsidRPr="00994DBB">
              <w:rPr>
                <w:rFonts w:ascii="Times New Roman" w:hAnsi="Times New Roman" w:cs="Times New Roman"/>
                <w:sz w:val="14"/>
                <w:lang w:val="es-MX"/>
              </w:rPr>
              <w:t>Perspectiva</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Estable</w:t>
            </w:r>
          </w:p>
        </w:tc>
        <w:tc>
          <w:tcPr>
            <w:tcW w:w="850" w:type="dxa"/>
            <w:vAlign w:val="center"/>
          </w:tcPr>
          <w:p w:rsidR="002238D7" w:rsidRPr="00994DBB" w:rsidRDefault="002238D7" w:rsidP="002238D7">
            <w:pPr>
              <w:jc w:val="center"/>
              <w:rPr>
                <w:rFonts w:ascii="Times New Roman" w:hAnsi="Times New Roman" w:cs="Times New Roman"/>
                <w:sz w:val="14"/>
                <w:szCs w:val="14"/>
                <w:lang w:val="es-MX"/>
              </w:rPr>
            </w:pPr>
            <w:r w:rsidRPr="00994DBB">
              <w:rPr>
                <w:rFonts w:ascii="Times New Roman" w:hAnsi="Times New Roman" w:cs="Times New Roman"/>
                <w:sz w:val="14"/>
                <w:szCs w:val="14"/>
                <w:lang w:val="es-MX"/>
              </w:rPr>
              <w:t>Estable</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Estable</w:t>
            </w:r>
            <w:r w:rsidRPr="00994DBB">
              <w:rPr>
                <w:rFonts w:ascii="Times New Roman" w:hAnsi="Times New Roman" w:cs="Times New Roman"/>
                <w:sz w:val="14"/>
                <w:szCs w:val="14"/>
                <w:lang w:val="es-MX"/>
              </w:rPr>
              <w:t>/B</w:t>
            </w:r>
          </w:p>
        </w:tc>
        <w:tc>
          <w:tcPr>
            <w:tcW w:w="850" w:type="dxa"/>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Estable</w:t>
            </w:r>
            <w:r w:rsidRPr="00994DBB">
              <w:rPr>
                <w:rFonts w:ascii="Times New Roman" w:hAnsi="Times New Roman" w:cs="Times New Roman"/>
                <w:sz w:val="14"/>
                <w:szCs w:val="14"/>
                <w:lang w:val="es-MX"/>
              </w:rPr>
              <w:t>/B</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Estable</w:t>
            </w:r>
            <w:r w:rsidRPr="00994DBB">
              <w:rPr>
                <w:rFonts w:ascii="Times New Roman" w:hAnsi="Times New Roman" w:cs="Times New Roman"/>
                <w:sz w:val="14"/>
                <w:szCs w:val="14"/>
                <w:lang w:val="es-MX"/>
              </w:rPr>
              <w:t>/B</w:t>
            </w:r>
          </w:p>
        </w:tc>
        <w:tc>
          <w:tcPr>
            <w:tcW w:w="992" w:type="dxa"/>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Estable</w:t>
            </w:r>
            <w:r w:rsidRPr="00994DBB">
              <w:rPr>
                <w:rFonts w:ascii="Times New Roman" w:hAnsi="Times New Roman" w:cs="Times New Roman"/>
                <w:sz w:val="14"/>
                <w:szCs w:val="14"/>
                <w:lang w:val="es-MX"/>
              </w:rPr>
              <w:t>/B</w:t>
            </w:r>
          </w:p>
        </w:tc>
        <w:tc>
          <w:tcPr>
            <w:tcW w:w="850" w:type="dxa"/>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Estable</w:t>
            </w:r>
            <w:r w:rsidRPr="00994DBB">
              <w:rPr>
                <w:rFonts w:ascii="Times New Roman" w:hAnsi="Times New Roman" w:cs="Times New Roman"/>
                <w:sz w:val="14"/>
                <w:szCs w:val="14"/>
                <w:lang w:val="es-MX"/>
              </w:rPr>
              <w:t>/B</w:t>
            </w:r>
          </w:p>
        </w:tc>
        <w:tc>
          <w:tcPr>
            <w:tcW w:w="851" w:type="dxa"/>
            <w:vAlign w:val="center"/>
          </w:tcPr>
          <w:p w:rsidR="002238D7" w:rsidRPr="00994DBB" w:rsidRDefault="002238D7" w:rsidP="002238D7">
            <w:pPr>
              <w:jc w:val="center"/>
              <w:rPr>
                <w:rFonts w:ascii="Times New Roman" w:hAnsi="Times New Roman" w:cs="Times New Roman"/>
                <w:sz w:val="14"/>
                <w:szCs w:val="14"/>
                <w:lang w:val="es-MX"/>
              </w:rPr>
            </w:pPr>
            <w:r>
              <w:rPr>
                <w:rFonts w:ascii="Times New Roman" w:hAnsi="Times New Roman" w:cs="Times New Roman"/>
                <w:sz w:val="14"/>
                <w:szCs w:val="14"/>
                <w:lang w:val="es-MX"/>
              </w:rPr>
              <w:t>Estable</w:t>
            </w:r>
            <w:r w:rsidRPr="00994DBB">
              <w:rPr>
                <w:rFonts w:ascii="Times New Roman" w:hAnsi="Times New Roman" w:cs="Times New Roman"/>
                <w:sz w:val="14"/>
                <w:szCs w:val="14"/>
                <w:lang w:val="es-MX"/>
              </w:rPr>
              <w:t>/B</w:t>
            </w:r>
          </w:p>
        </w:tc>
        <w:tc>
          <w:tcPr>
            <w:tcW w:w="723" w:type="dxa"/>
            <w:shd w:val="clear" w:color="auto" w:fill="4F81BD" w:themeFill="accent1"/>
            <w:vAlign w:val="center"/>
          </w:tcPr>
          <w:p w:rsidR="002238D7" w:rsidRPr="0087780E" w:rsidRDefault="002238D7" w:rsidP="002238D7">
            <w:pPr>
              <w:jc w:val="center"/>
              <w:rPr>
                <w:rFonts w:ascii="Times New Roman" w:hAnsi="Times New Roman" w:cs="Times New Roman"/>
                <w:b/>
                <w:color w:val="FDE9D9" w:themeColor="accent6" w:themeTint="33"/>
                <w:sz w:val="14"/>
                <w:szCs w:val="14"/>
                <w:lang w:val="es-MX"/>
              </w:rPr>
            </w:pPr>
            <w:r w:rsidRPr="0087780E">
              <w:rPr>
                <w:rFonts w:ascii="Times New Roman" w:hAnsi="Times New Roman" w:cs="Times New Roman"/>
                <w:b/>
                <w:color w:val="FDE9D9" w:themeColor="accent6" w:themeTint="33"/>
                <w:sz w:val="14"/>
                <w:szCs w:val="14"/>
                <w:lang w:val="es-MX"/>
              </w:rPr>
              <w:t>Estable/B</w:t>
            </w:r>
          </w:p>
        </w:tc>
      </w:tr>
      <w:tr w:rsidR="002238D7" w:rsidTr="002238D7">
        <w:tc>
          <w:tcPr>
            <w:tcW w:w="959" w:type="dxa"/>
            <w:shd w:val="clear" w:color="auto" w:fill="8DB3E2" w:themeFill="text2" w:themeFillTint="66"/>
            <w:vAlign w:val="center"/>
          </w:tcPr>
          <w:p w:rsidR="002238D7" w:rsidRPr="002238D7" w:rsidRDefault="002238D7" w:rsidP="002238D7">
            <w:pPr>
              <w:jc w:val="center"/>
              <w:rPr>
                <w:rFonts w:ascii="Times New Roman" w:hAnsi="Times New Roman" w:cs="Times New Roman"/>
                <w:lang w:val="es-MX"/>
              </w:rPr>
            </w:pPr>
          </w:p>
        </w:tc>
        <w:tc>
          <w:tcPr>
            <w:tcW w:w="8661" w:type="dxa"/>
            <w:gridSpan w:val="10"/>
            <w:vAlign w:val="center"/>
          </w:tcPr>
          <w:p w:rsidR="002238D7" w:rsidRPr="00994DBB" w:rsidRDefault="002238D7" w:rsidP="002238D7">
            <w:pPr>
              <w:jc w:val="center"/>
              <w:rPr>
                <w:rFonts w:ascii="Times New Roman" w:hAnsi="Times New Roman" w:cs="Times New Roman"/>
                <w:sz w:val="14"/>
                <w:szCs w:val="14"/>
                <w:lang w:val="es-MX"/>
              </w:rPr>
            </w:pPr>
          </w:p>
        </w:tc>
      </w:tr>
    </w:tbl>
    <w:p w:rsidR="002238D7" w:rsidRPr="00994DBB" w:rsidRDefault="002238D7" w:rsidP="002238D7">
      <w:pPr>
        <w:jc w:val="both"/>
        <w:rPr>
          <w:rFonts w:ascii="Times New Roman" w:hAnsi="Times New Roman" w:cs="Times New Roman"/>
          <w:sz w:val="16"/>
          <w:lang w:val="es-MX"/>
        </w:rPr>
      </w:pPr>
      <w:r w:rsidRPr="00994DBB">
        <w:rPr>
          <w:rFonts w:ascii="Times New Roman" w:hAnsi="Times New Roman" w:cs="Times New Roman"/>
          <w:sz w:val="16"/>
          <w:lang w:val="es-MX"/>
        </w:rPr>
        <w:t>Fuente: Consejo Monetario Centroamericano; www.fitchratings.com;moodys.com;standardandpoors.com</w:t>
      </w:r>
    </w:p>
    <w:p w:rsidR="002238D7" w:rsidRDefault="002238D7">
      <w:pPr>
        <w:rPr>
          <w:rFonts w:ascii="Times New Roman" w:hAnsi="Times New Roman" w:cs="Times New Roman"/>
          <w:b/>
          <w:lang w:val="es-MX"/>
        </w:rPr>
      </w:pPr>
      <w:r>
        <w:rPr>
          <w:rFonts w:ascii="Times New Roman" w:hAnsi="Times New Roman" w:cs="Times New Roman"/>
          <w:b/>
          <w:lang w:val="es-MX"/>
        </w:rPr>
        <w:br w:type="page"/>
      </w:r>
    </w:p>
    <w:p w:rsidR="004059FA" w:rsidRPr="008353C3" w:rsidRDefault="004059FA" w:rsidP="004059FA">
      <w:pPr>
        <w:jc w:val="right"/>
        <w:rPr>
          <w:rFonts w:ascii="Times New Roman" w:hAnsi="Times New Roman" w:cs="Times New Roman"/>
          <w:color w:val="1F497D" w:themeColor="text2"/>
          <w:sz w:val="10"/>
        </w:rPr>
      </w:pPr>
    </w:p>
    <w:p w:rsidR="004059FA" w:rsidRPr="008353C3" w:rsidRDefault="004059FA" w:rsidP="004059FA">
      <w:pPr>
        <w:pStyle w:val="Prrafodelista"/>
        <w:numPr>
          <w:ilvl w:val="0"/>
          <w:numId w:val="25"/>
        </w:numPr>
        <w:pBdr>
          <w:top w:val="single" w:sz="4" w:space="1" w:color="auto"/>
          <w:bottom w:val="single" w:sz="4" w:space="1" w:color="auto"/>
        </w:pBdr>
        <w:shd w:val="clear" w:color="auto" w:fill="2F8C99"/>
        <w:ind w:left="709" w:hanging="709"/>
        <w:jc w:val="both"/>
        <w:outlineLvl w:val="0"/>
        <w:rPr>
          <w:rFonts w:ascii="Times New Roman" w:hAnsi="Times New Roman" w:cs="Times New Roman"/>
          <w:b/>
          <w:color w:val="FFFFFF" w:themeColor="background1"/>
          <w:sz w:val="32"/>
          <w:lang w:val="es-MX"/>
        </w:rPr>
      </w:pPr>
      <w:bookmarkStart w:id="10" w:name="_Toc457550826"/>
      <w:r w:rsidRPr="006A2E1A">
        <w:rPr>
          <w:rFonts w:ascii="Times New Roman" w:hAnsi="Times New Roman" w:cs="Times New Roman"/>
          <w:b/>
          <w:color w:val="FFFFFF" w:themeColor="background1"/>
          <w:sz w:val="32"/>
          <w:lang w:val="es-MX"/>
        </w:rPr>
        <w:t>Recaudación Tributaria</w:t>
      </w:r>
      <w:bookmarkEnd w:id="10"/>
    </w:p>
    <w:p w:rsidR="00147E7A" w:rsidRPr="00E548C5" w:rsidRDefault="00147E7A" w:rsidP="008353C3">
      <w:pPr>
        <w:pStyle w:val="Ttulo2"/>
        <w:rPr>
          <w:rFonts w:ascii="Times New Roman" w:hAnsi="Times New Roman" w:cs="Times New Roman"/>
          <w:b w:val="0"/>
          <w:lang w:val="es-MX"/>
        </w:rPr>
      </w:pPr>
      <w:bookmarkStart w:id="11" w:name="_Toc457550827"/>
      <w:r w:rsidRPr="008353C3">
        <w:rPr>
          <w:rFonts w:ascii="Times New Roman" w:hAnsi="Times New Roman" w:cs="Times New Roman"/>
          <w:color w:val="auto"/>
          <w:sz w:val="24"/>
        </w:rPr>
        <w:t>2.1  Presupuesto General de Ingresos 2016</w:t>
      </w:r>
      <w:bookmarkEnd w:id="11"/>
    </w:p>
    <w:p w:rsidR="00147E7A" w:rsidRDefault="00147E7A" w:rsidP="00147E7A">
      <w:pPr>
        <w:jc w:val="both"/>
        <w:rPr>
          <w:rFonts w:ascii="Times New Roman" w:hAnsi="Times New Roman" w:cs="Times New Roman"/>
          <w:lang w:val="es-MX"/>
        </w:rPr>
      </w:pPr>
    </w:p>
    <w:p w:rsidR="00147E7A" w:rsidRDefault="00147E7A" w:rsidP="008353C3">
      <w:pPr>
        <w:jc w:val="both"/>
        <w:rPr>
          <w:rFonts w:ascii="Times New Roman" w:hAnsi="Times New Roman" w:cs="Times New Roman"/>
          <w:lang w:val="es-MX"/>
        </w:rPr>
      </w:pPr>
      <w:r w:rsidRPr="00E548C5">
        <w:rPr>
          <w:rFonts w:ascii="Times New Roman" w:hAnsi="Times New Roman" w:cs="Times New Roman"/>
          <w:lang w:val="es-MX"/>
        </w:rPr>
        <w:t>El presupuesto de ingresos tributarios 2016 asciende a Q</w:t>
      </w:r>
      <w:r w:rsidR="007B2090">
        <w:rPr>
          <w:rFonts w:ascii="Times New Roman" w:hAnsi="Times New Roman" w:cs="Times New Roman"/>
          <w:lang w:val="es-MX"/>
        </w:rPr>
        <w:t xml:space="preserve"> </w:t>
      </w:r>
      <w:r w:rsidRPr="00E548C5">
        <w:rPr>
          <w:rFonts w:ascii="Times New Roman" w:hAnsi="Times New Roman" w:cs="Times New Roman"/>
          <w:lang w:val="es-MX"/>
        </w:rPr>
        <w:t>54,555.8 millones, dicho monto está fundamentado en el escenario macroeconómico realizado por el BANGUAT y la tendencia histórica de la recaudación.</w:t>
      </w:r>
    </w:p>
    <w:p w:rsidR="00147E7A" w:rsidRPr="00E548C5" w:rsidRDefault="00147E7A" w:rsidP="008353C3">
      <w:pPr>
        <w:jc w:val="both"/>
        <w:rPr>
          <w:rFonts w:ascii="Times New Roman" w:hAnsi="Times New Roman" w:cs="Times New Roman"/>
          <w:lang w:val="es-MX"/>
        </w:rPr>
      </w:pPr>
    </w:p>
    <w:p w:rsidR="00147E7A" w:rsidRDefault="00147E7A" w:rsidP="008353C3">
      <w:pPr>
        <w:jc w:val="both"/>
        <w:rPr>
          <w:rFonts w:ascii="Times New Roman" w:hAnsi="Times New Roman" w:cs="Times New Roman"/>
          <w:i/>
          <w:lang w:val="es-MX"/>
        </w:rPr>
      </w:pPr>
      <w:r w:rsidRPr="00E548C5">
        <w:rPr>
          <w:rFonts w:ascii="Times New Roman" w:hAnsi="Times New Roman" w:cs="Times New Roman"/>
          <w:i/>
          <w:lang w:val="es-MX"/>
        </w:rPr>
        <w:t>Aspectos importantes a mencionar sobre el presupuesto son:</w:t>
      </w:r>
    </w:p>
    <w:p w:rsidR="00147E7A" w:rsidRPr="00E548C5" w:rsidRDefault="00147E7A" w:rsidP="008353C3">
      <w:pPr>
        <w:jc w:val="both"/>
        <w:rPr>
          <w:rFonts w:ascii="Times New Roman" w:hAnsi="Times New Roman" w:cs="Times New Roman"/>
          <w:i/>
          <w:lang w:val="es-MX"/>
        </w:rPr>
      </w:pPr>
    </w:p>
    <w:p w:rsidR="00147E7A" w:rsidRPr="00147E7A" w:rsidRDefault="00147E7A" w:rsidP="008353C3">
      <w:pPr>
        <w:pStyle w:val="Prrafodelista"/>
        <w:numPr>
          <w:ilvl w:val="0"/>
          <w:numId w:val="30"/>
        </w:numPr>
        <w:spacing w:after="200"/>
        <w:jc w:val="both"/>
        <w:rPr>
          <w:rFonts w:ascii="Times New Roman" w:hAnsi="Times New Roman" w:cs="Times New Roman"/>
          <w:sz w:val="24"/>
          <w:lang w:val="es-MX"/>
        </w:rPr>
      </w:pPr>
      <w:r w:rsidRPr="00147E7A">
        <w:rPr>
          <w:rFonts w:ascii="Times New Roman" w:hAnsi="Times New Roman" w:cs="Times New Roman"/>
          <w:sz w:val="24"/>
          <w:lang w:val="es-MX"/>
        </w:rPr>
        <w:t>La estimación del impuesto al saco de cemento se realizó con una tasa de Q</w:t>
      </w:r>
      <w:r w:rsidR="007B2090">
        <w:rPr>
          <w:rFonts w:ascii="Times New Roman" w:hAnsi="Times New Roman" w:cs="Times New Roman"/>
          <w:sz w:val="24"/>
          <w:lang w:val="es-MX"/>
        </w:rPr>
        <w:t xml:space="preserve"> </w:t>
      </w:r>
      <w:r w:rsidRPr="00147E7A">
        <w:rPr>
          <w:rFonts w:ascii="Times New Roman" w:hAnsi="Times New Roman" w:cs="Times New Roman"/>
          <w:sz w:val="24"/>
          <w:lang w:val="es-MX"/>
        </w:rPr>
        <w:t>5.00 por saco,  debido a que en la etapa de formulación y aprobación del proyecto de presupuesto, la Corte de Constitucionalidad no había resuelto en definitiva sobre la acción de inconstitucionalidad.  El fallo definitivo se conoció en diciembre 2015, con lo cual se restituyó la tasa de Q</w:t>
      </w:r>
      <w:r w:rsidR="007B2090">
        <w:rPr>
          <w:rFonts w:ascii="Times New Roman" w:hAnsi="Times New Roman" w:cs="Times New Roman"/>
          <w:sz w:val="24"/>
          <w:lang w:val="es-MX"/>
        </w:rPr>
        <w:t xml:space="preserve"> </w:t>
      </w:r>
      <w:r w:rsidRPr="00147E7A">
        <w:rPr>
          <w:rFonts w:ascii="Times New Roman" w:hAnsi="Times New Roman" w:cs="Times New Roman"/>
          <w:sz w:val="24"/>
          <w:lang w:val="es-MX"/>
        </w:rPr>
        <w:t>1.50 por saco.</w:t>
      </w:r>
    </w:p>
    <w:p w:rsidR="00147E7A" w:rsidRPr="00147E7A" w:rsidRDefault="00147E7A" w:rsidP="008353C3">
      <w:pPr>
        <w:pStyle w:val="Prrafodelista"/>
        <w:numPr>
          <w:ilvl w:val="0"/>
          <w:numId w:val="30"/>
        </w:numPr>
        <w:spacing w:after="200"/>
        <w:jc w:val="both"/>
        <w:rPr>
          <w:rFonts w:ascii="Times New Roman" w:hAnsi="Times New Roman" w:cs="Times New Roman"/>
          <w:sz w:val="24"/>
          <w:lang w:val="es-MX"/>
        </w:rPr>
      </w:pPr>
      <w:r w:rsidRPr="00147E7A">
        <w:rPr>
          <w:rFonts w:ascii="Times New Roman" w:hAnsi="Times New Roman" w:cs="Times New Roman"/>
          <w:sz w:val="24"/>
          <w:lang w:val="es-MX"/>
        </w:rPr>
        <w:t>Se incluyeron Q</w:t>
      </w:r>
      <w:r w:rsidR="007B2090">
        <w:rPr>
          <w:rFonts w:ascii="Times New Roman" w:hAnsi="Times New Roman" w:cs="Times New Roman"/>
          <w:sz w:val="24"/>
          <w:lang w:val="es-MX"/>
        </w:rPr>
        <w:t xml:space="preserve"> </w:t>
      </w:r>
      <w:r w:rsidRPr="00147E7A">
        <w:rPr>
          <w:rFonts w:ascii="Times New Roman" w:hAnsi="Times New Roman" w:cs="Times New Roman"/>
          <w:sz w:val="24"/>
          <w:lang w:val="es-MX"/>
        </w:rPr>
        <w:t>1,500 millones por concepto de medidas administrativas de la SAT, enfocadas a reducir el incumplimiento tributario y la defraudación aduanera.  Dichas medidas se respaldan en los planes de recaudación (cobranza administrativa), fiscalización y control.</w:t>
      </w:r>
    </w:p>
    <w:p w:rsidR="00147E7A" w:rsidRPr="00147E7A" w:rsidRDefault="00147E7A" w:rsidP="008353C3">
      <w:pPr>
        <w:pStyle w:val="Prrafodelista"/>
        <w:numPr>
          <w:ilvl w:val="0"/>
          <w:numId w:val="30"/>
        </w:numPr>
        <w:spacing w:after="200"/>
        <w:jc w:val="both"/>
        <w:rPr>
          <w:rFonts w:ascii="Times New Roman" w:hAnsi="Times New Roman" w:cs="Times New Roman"/>
          <w:sz w:val="24"/>
          <w:lang w:val="es-MX"/>
        </w:rPr>
      </w:pPr>
      <w:r w:rsidRPr="00147E7A">
        <w:rPr>
          <w:rFonts w:ascii="Times New Roman" w:hAnsi="Times New Roman" w:cs="Times New Roman"/>
          <w:sz w:val="24"/>
          <w:lang w:val="es-MX"/>
        </w:rPr>
        <w:t>La estimación de regalías e hidrocarburos compartibles se realizó bajo el supuesto de un precio del petróleo por arriba de los US$</w:t>
      </w:r>
      <w:r w:rsidR="007B2090">
        <w:rPr>
          <w:rFonts w:ascii="Times New Roman" w:hAnsi="Times New Roman" w:cs="Times New Roman"/>
          <w:sz w:val="24"/>
          <w:lang w:val="es-MX"/>
        </w:rPr>
        <w:t xml:space="preserve"> </w:t>
      </w:r>
      <w:r w:rsidRPr="00147E7A">
        <w:rPr>
          <w:rFonts w:ascii="Times New Roman" w:hAnsi="Times New Roman" w:cs="Times New Roman"/>
          <w:sz w:val="24"/>
          <w:lang w:val="es-MX"/>
        </w:rPr>
        <w:t xml:space="preserve">50 por barril.  </w:t>
      </w:r>
    </w:p>
    <w:p w:rsidR="00147E7A" w:rsidRPr="00147E7A" w:rsidRDefault="00147E7A" w:rsidP="008353C3">
      <w:pPr>
        <w:pStyle w:val="Prrafodelista"/>
        <w:numPr>
          <w:ilvl w:val="0"/>
          <w:numId w:val="30"/>
        </w:numPr>
        <w:spacing w:after="200"/>
        <w:jc w:val="both"/>
        <w:rPr>
          <w:rFonts w:ascii="Times New Roman" w:hAnsi="Times New Roman" w:cs="Times New Roman"/>
          <w:sz w:val="24"/>
          <w:lang w:val="es-MX"/>
        </w:rPr>
      </w:pPr>
      <w:r w:rsidRPr="00147E7A">
        <w:rPr>
          <w:rFonts w:ascii="Times New Roman" w:hAnsi="Times New Roman" w:cs="Times New Roman"/>
          <w:sz w:val="24"/>
          <w:lang w:val="es-MX"/>
        </w:rPr>
        <w:t>El tipo de cambio para evaluar los impuestos asociados al comercio exterior se consideró neutro.</w:t>
      </w:r>
    </w:p>
    <w:p w:rsidR="00147E7A" w:rsidRPr="008353C3" w:rsidRDefault="00147E7A" w:rsidP="00147E7A">
      <w:pPr>
        <w:jc w:val="both"/>
        <w:rPr>
          <w:rFonts w:ascii="Times New Roman" w:hAnsi="Times New Roman" w:cs="Times New Roman"/>
          <w:lang w:val="es-MX"/>
        </w:rPr>
      </w:pPr>
      <w:r>
        <w:rPr>
          <w:rFonts w:ascii="Times New Roman" w:hAnsi="Times New Roman" w:cs="Times New Roman"/>
          <w:lang w:val="es-MX"/>
        </w:rPr>
        <w:t>Con ese entorno, la estimación que la Dirección de Análisis y Política Fiscal -DAPF- planteó el inicio del año se consideró conservadora y por un nivel de Q</w:t>
      </w:r>
      <w:r w:rsidR="007B2090">
        <w:rPr>
          <w:rFonts w:ascii="Times New Roman" w:hAnsi="Times New Roman" w:cs="Times New Roman"/>
          <w:lang w:val="es-MX"/>
        </w:rPr>
        <w:t xml:space="preserve"> </w:t>
      </w:r>
      <w:r>
        <w:rPr>
          <w:rFonts w:ascii="Times New Roman" w:hAnsi="Times New Roman" w:cs="Times New Roman"/>
          <w:lang w:val="es-MX"/>
        </w:rPr>
        <w:t>50,031.5 millones.  Esta estimación, adicionalmente a las consideraciones mencionadas supra, también consideró algunos efectos producto del deterioro que se observaba en el funcionamiento de la SAT, en particular en aduanas y el choque externo asociado a la caída en los precio</w:t>
      </w:r>
      <w:r w:rsidR="008353C3">
        <w:rPr>
          <w:rFonts w:ascii="Times New Roman" w:hAnsi="Times New Roman" w:cs="Times New Roman"/>
          <w:lang w:val="es-MX"/>
        </w:rPr>
        <w:t>s internacionales del petróleo.</w:t>
      </w:r>
    </w:p>
    <w:p w:rsidR="00147E7A" w:rsidRPr="008353C3" w:rsidRDefault="00147E7A" w:rsidP="008353C3">
      <w:pPr>
        <w:pStyle w:val="Ttulo2"/>
        <w:rPr>
          <w:rFonts w:ascii="Times New Roman" w:hAnsi="Times New Roman" w:cs="Times New Roman"/>
          <w:color w:val="auto"/>
          <w:sz w:val="24"/>
        </w:rPr>
      </w:pPr>
      <w:bookmarkStart w:id="12" w:name="_Toc457550828"/>
      <w:r w:rsidRPr="008353C3">
        <w:rPr>
          <w:rFonts w:ascii="Times New Roman" w:hAnsi="Times New Roman" w:cs="Times New Roman"/>
          <w:color w:val="auto"/>
          <w:sz w:val="24"/>
        </w:rPr>
        <w:t>2.2  Evolución de la recaudación</w:t>
      </w:r>
      <w:bookmarkEnd w:id="12"/>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La recaudación tributaria a junio de 2016 tiene aristas importantes en torno a la los principales impuestos, Renta e IVA Total, que representan cerca del 75.1% de la recaudación total.  A inicios de año, el ente recaudador continuaba afrontando problemas de índole administrativo y control en aduanas, una SAT debilitada ante señalamientos de corrupción de parte de sus altos funcionarios y redes de corrupción en las aduanas del país marcaban un inicio incierto para el cumplimiento de las metas establecidas en el convenio suscrito entre el Presidente de la República y el Superintendente de Administración Tributaria (interino).  Esa percepción y luego de meses de deterioro en la moral tributaria de los contribuyentes, las metas establecidas ya significaban un gran reto para una nueva administración.</w:t>
      </w:r>
    </w:p>
    <w:p w:rsidR="00147E7A" w:rsidRDefault="00147E7A" w:rsidP="00147E7A">
      <w:pPr>
        <w:jc w:val="both"/>
        <w:rPr>
          <w:rFonts w:ascii="Times New Roman" w:hAnsi="Times New Roman" w:cs="Times New Roman"/>
          <w:lang w:val="es-MX"/>
        </w:rPr>
      </w:pPr>
      <w:r>
        <w:rPr>
          <w:rFonts w:ascii="Times New Roman" w:hAnsi="Times New Roman" w:cs="Times New Roman"/>
          <w:lang w:val="es-MX"/>
        </w:rPr>
        <w:lastRenderedPageBreak/>
        <w:t xml:space="preserve">Aunado a los problemas internos en la SAT, aspectos macroeconómicos importantes también marcaban la incertidumbre.  La perspectiva de crecimiento económico había variado a 3.1% lo cual contrastaba significativamente con lo observado en enero 2015, cuyo crecimiento se ubicó en 4.9% y las importaciones gravadas cayeron en 5.7% respecto al año anterior y se experimentó una desaceleración en el crédito al privado. </w:t>
      </w:r>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 xml:space="preserve">A pesar de un escenario macroeconómico más deprimido, la recaudación tributaria presupuestada para enero  alcanzó la meta </w:t>
      </w:r>
      <w:r w:rsidRPr="00C96218">
        <w:rPr>
          <w:rFonts w:ascii="Times New Roman" w:hAnsi="Times New Roman" w:cs="Times New Roman"/>
          <w:i/>
          <w:lang w:val="es-MX"/>
        </w:rPr>
        <w:t>(es preciso indicar que en enero y febrero aún no se tenían incluidos en las metas recaudación extraordinaria producto de medidas administrativas)</w:t>
      </w:r>
      <w:r>
        <w:rPr>
          <w:rFonts w:ascii="Times New Roman" w:hAnsi="Times New Roman" w:cs="Times New Roman"/>
          <w:lang w:val="es-MX"/>
        </w:rPr>
        <w:t>, y los impuestos que marcaron este crecimiento fueron el impuesto a la renta, el ISO, los derechos arancelarios a la importación, los derivados del petróleo y los impuestos específicos.  Aspectos negativos que no limitaron el crecimiento fueron el IVA total, el cual dejó una brecha de Q</w:t>
      </w:r>
      <w:r w:rsidR="00967A6F">
        <w:rPr>
          <w:rFonts w:ascii="Times New Roman" w:hAnsi="Times New Roman" w:cs="Times New Roman"/>
          <w:lang w:val="es-MX"/>
        </w:rPr>
        <w:t xml:space="preserve"> </w:t>
      </w:r>
      <w:r>
        <w:rPr>
          <w:rFonts w:ascii="Times New Roman" w:hAnsi="Times New Roman" w:cs="Times New Roman"/>
          <w:lang w:val="es-MX"/>
        </w:rPr>
        <w:t>150.9 millones, de los cuales, Q</w:t>
      </w:r>
      <w:r w:rsidR="00967A6F">
        <w:rPr>
          <w:rFonts w:ascii="Times New Roman" w:hAnsi="Times New Roman" w:cs="Times New Roman"/>
          <w:lang w:val="es-MX"/>
        </w:rPr>
        <w:t xml:space="preserve"> </w:t>
      </w:r>
      <w:r>
        <w:rPr>
          <w:rFonts w:ascii="Times New Roman" w:hAnsi="Times New Roman" w:cs="Times New Roman"/>
          <w:lang w:val="es-MX"/>
        </w:rPr>
        <w:t>59.6 millones eran de IVA doméstico y Q</w:t>
      </w:r>
      <w:r w:rsidR="00967A6F">
        <w:rPr>
          <w:rFonts w:ascii="Times New Roman" w:hAnsi="Times New Roman" w:cs="Times New Roman"/>
          <w:lang w:val="es-MX"/>
        </w:rPr>
        <w:t xml:space="preserve"> </w:t>
      </w:r>
      <w:r>
        <w:rPr>
          <w:rFonts w:ascii="Times New Roman" w:hAnsi="Times New Roman" w:cs="Times New Roman"/>
          <w:lang w:val="es-MX"/>
        </w:rPr>
        <w:t>91.3 millones de IVA asociado a las importaciones.</w:t>
      </w:r>
    </w:p>
    <w:p w:rsidR="00147E7A" w:rsidRDefault="00147E7A" w:rsidP="00147E7A">
      <w:pPr>
        <w:jc w:val="both"/>
        <w:rPr>
          <w:rFonts w:ascii="Times New Roman" w:hAnsi="Times New Roman" w:cs="Times New Roman"/>
          <w:lang w:val="es-MX"/>
        </w:rPr>
      </w:pPr>
    </w:p>
    <w:p w:rsidR="00147E7A" w:rsidRPr="004C77E0" w:rsidRDefault="00147E7A" w:rsidP="00147E7A">
      <w:pPr>
        <w:jc w:val="center"/>
        <w:rPr>
          <w:rFonts w:ascii="Times New Roman" w:hAnsi="Times New Roman" w:cs="Times New Roman"/>
          <w:b/>
          <w:sz w:val="28"/>
          <w:lang w:val="es-MX"/>
        </w:rPr>
      </w:pPr>
      <w:r w:rsidRPr="008353C3">
        <w:rPr>
          <w:rFonts w:ascii="Times New Roman" w:hAnsi="Times New Roman" w:cs="Times New Roman"/>
          <w:b/>
          <w:lang w:val="es-MX"/>
        </w:rPr>
        <w:t>Recaudación tributaria vrs observado año anterior y meta de presupuesto</w:t>
      </w:r>
    </w:p>
    <w:p w:rsidR="00147E7A" w:rsidRPr="008353C3" w:rsidRDefault="00147E7A" w:rsidP="00147E7A">
      <w:pPr>
        <w:jc w:val="center"/>
        <w:rPr>
          <w:rFonts w:ascii="Times New Roman" w:hAnsi="Times New Roman" w:cs="Times New Roman"/>
          <w:sz w:val="22"/>
          <w:lang w:val="es-MX"/>
        </w:rPr>
      </w:pPr>
      <w:r w:rsidRPr="008353C3">
        <w:rPr>
          <w:rFonts w:ascii="Times New Roman" w:hAnsi="Times New Roman" w:cs="Times New Roman"/>
          <w:sz w:val="22"/>
          <w:lang w:val="es-MX"/>
        </w:rPr>
        <w:t>Millones de quetzales</w:t>
      </w:r>
    </w:p>
    <w:p w:rsidR="00147E7A" w:rsidRDefault="00147E7A" w:rsidP="00147E7A">
      <w:pPr>
        <w:jc w:val="center"/>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1A2A2EBE" wp14:editId="5F4FE798">
            <wp:extent cx="4572000" cy="2411095"/>
            <wp:effectExtent l="0" t="0" r="0" b="825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7E7A" w:rsidRPr="007928A4" w:rsidRDefault="00147E7A" w:rsidP="00147E7A">
      <w:pPr>
        <w:jc w:val="both"/>
        <w:rPr>
          <w:rFonts w:ascii="Times New Roman" w:hAnsi="Times New Roman" w:cs="Times New Roman"/>
          <w:sz w:val="16"/>
          <w:lang w:val="es-MX"/>
        </w:rPr>
      </w:pPr>
      <w:r>
        <w:rPr>
          <w:rFonts w:ascii="Times New Roman" w:hAnsi="Times New Roman" w:cs="Times New Roman"/>
          <w:sz w:val="16"/>
          <w:lang w:val="es-MX"/>
        </w:rPr>
        <w:tab/>
      </w:r>
      <w:r w:rsidRPr="007928A4">
        <w:rPr>
          <w:rFonts w:ascii="Times New Roman" w:hAnsi="Times New Roman" w:cs="Times New Roman"/>
          <w:sz w:val="16"/>
          <w:lang w:val="es-MX"/>
        </w:rPr>
        <w:t>Fuente: Dirección de Análisis y Política Fiscal</w:t>
      </w:r>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El esfuerzo para hacer sostenible el crecimiento en la recaudación y así alcanzar la meta demandaba acciones prontas con miras a cambiar la percepción de los contribuyentes.  La administración interina implementó acciones en pro del saneamiento en las aduanas del país y fijó controles administrativos para fortalecer el que hacer de la institución, en febrero de 2016 nuevamente la SAT es blanco de capturas de funcionarios de alto rango (intendencia jurídica, intendencia de fiscalización y algunos jefes de sección y división, supervisores y auditores tributarios de grandes contribuyentes) poniendo de nuevo a la SAT en posición incómoda para poder alcanzar las metas al tener que afrontar procesos administrativos para suplir a la gente que había sido capturada.</w:t>
      </w:r>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lastRenderedPageBreak/>
        <w:t>Ante esta nueva serie de capturas y con apoyo de organismos internacionales (BID y BM), la SAT empieza un proceso de depuración y reformas internas.  Los efectos negativos de este nuevo embate al ente recaudador se hacen notorios en el tema de recaudación, la cual, en el primer trimestre, presentan una brecha negativa de Q</w:t>
      </w:r>
      <w:r w:rsidR="008353C3">
        <w:rPr>
          <w:rFonts w:ascii="Times New Roman" w:hAnsi="Times New Roman" w:cs="Times New Roman"/>
          <w:lang w:val="es-MX"/>
        </w:rPr>
        <w:t xml:space="preserve"> </w:t>
      </w:r>
      <w:r>
        <w:rPr>
          <w:rFonts w:ascii="Times New Roman" w:hAnsi="Times New Roman" w:cs="Times New Roman"/>
          <w:lang w:val="es-MX"/>
        </w:rPr>
        <w:t>427.3 millones respecto a la meta programada en presupuesto</w:t>
      </w:r>
      <w:r>
        <w:rPr>
          <w:rStyle w:val="Refdenotaalpie"/>
          <w:rFonts w:ascii="Times New Roman" w:hAnsi="Times New Roman" w:cs="Times New Roman"/>
          <w:lang w:val="es-MX"/>
        </w:rPr>
        <w:footnoteReference w:id="1"/>
      </w:r>
      <w:r>
        <w:rPr>
          <w:rFonts w:ascii="Times New Roman" w:hAnsi="Times New Roman" w:cs="Times New Roman"/>
          <w:lang w:val="es-MX"/>
        </w:rPr>
        <w:t>. Esta caída fue influenciada principalmente por el deterioro en el impuesto sobre la renta que dejó de recaudar Q</w:t>
      </w:r>
      <w:r w:rsidR="008353C3">
        <w:rPr>
          <w:rFonts w:ascii="Times New Roman" w:hAnsi="Times New Roman" w:cs="Times New Roman"/>
          <w:lang w:val="es-MX"/>
        </w:rPr>
        <w:t xml:space="preserve"> </w:t>
      </w:r>
      <w:r>
        <w:rPr>
          <w:rFonts w:ascii="Times New Roman" w:hAnsi="Times New Roman" w:cs="Times New Roman"/>
          <w:lang w:val="es-MX"/>
        </w:rPr>
        <w:t>171 millones y el IVA total que de igual manera no recaudo Q</w:t>
      </w:r>
      <w:r w:rsidR="008353C3">
        <w:rPr>
          <w:rFonts w:ascii="Times New Roman" w:hAnsi="Times New Roman" w:cs="Times New Roman"/>
          <w:lang w:val="es-MX"/>
        </w:rPr>
        <w:t xml:space="preserve"> </w:t>
      </w:r>
      <w:r>
        <w:rPr>
          <w:rFonts w:ascii="Times New Roman" w:hAnsi="Times New Roman" w:cs="Times New Roman"/>
          <w:lang w:val="es-MX"/>
        </w:rPr>
        <w:t>467.1 millones, estos impuestos representan el 74.3% de la recaudación total y la brecha se contuvo por el impulso positivo de impuestos como el ISO, los derechos arancelarios a las importaciones no petroleras, el impuesto a los derivados del petróleo (combustibles) y los impuestos específicos como el de bebidas tabacos y cemento entre otros.</w:t>
      </w:r>
    </w:p>
    <w:p w:rsidR="00147E7A" w:rsidRDefault="00147E7A" w:rsidP="00147E7A">
      <w:pPr>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04"/>
      </w:tblGrid>
      <w:tr w:rsidR="00147E7A" w:rsidTr="007B2090">
        <w:tc>
          <w:tcPr>
            <w:tcW w:w="4489" w:type="dxa"/>
          </w:tcPr>
          <w:p w:rsidR="00147E7A" w:rsidRPr="004C77E0" w:rsidRDefault="00147E7A" w:rsidP="007B2090">
            <w:pPr>
              <w:jc w:val="center"/>
              <w:rPr>
                <w:rFonts w:ascii="Times New Roman" w:hAnsi="Times New Roman" w:cs="Times New Roman"/>
                <w:b/>
                <w:lang w:val="es-MX"/>
              </w:rPr>
            </w:pPr>
            <w:r w:rsidRPr="004C77E0">
              <w:rPr>
                <w:rFonts w:ascii="Times New Roman" w:hAnsi="Times New Roman" w:cs="Times New Roman"/>
                <w:b/>
                <w:lang w:val="es-MX"/>
              </w:rPr>
              <w:t>Estructura de los principales impuestos a marzo en Porcentaje</w:t>
            </w:r>
          </w:p>
        </w:tc>
        <w:tc>
          <w:tcPr>
            <w:tcW w:w="4489" w:type="dxa"/>
          </w:tcPr>
          <w:p w:rsidR="00147E7A" w:rsidRPr="004C77E0" w:rsidRDefault="00147E7A" w:rsidP="007B2090">
            <w:pPr>
              <w:jc w:val="center"/>
              <w:rPr>
                <w:rFonts w:ascii="Times New Roman" w:hAnsi="Times New Roman" w:cs="Times New Roman"/>
                <w:b/>
                <w:lang w:val="es-MX"/>
              </w:rPr>
            </w:pPr>
            <w:r w:rsidRPr="004C77E0">
              <w:rPr>
                <w:rFonts w:ascii="Times New Roman" w:hAnsi="Times New Roman" w:cs="Times New Roman"/>
                <w:b/>
                <w:lang w:val="es-MX"/>
              </w:rPr>
              <w:t>Primer trimestre de recaudación tributaria</w:t>
            </w:r>
          </w:p>
          <w:p w:rsidR="00147E7A" w:rsidRPr="004C77E0" w:rsidRDefault="00147E7A" w:rsidP="007B2090">
            <w:pPr>
              <w:jc w:val="center"/>
              <w:rPr>
                <w:rFonts w:ascii="Times New Roman" w:hAnsi="Times New Roman" w:cs="Times New Roman"/>
                <w:b/>
                <w:lang w:val="es-MX"/>
              </w:rPr>
            </w:pPr>
            <w:r w:rsidRPr="004C77E0">
              <w:rPr>
                <w:rFonts w:ascii="Times New Roman" w:hAnsi="Times New Roman" w:cs="Times New Roman"/>
                <w:b/>
                <w:lang w:val="es-MX"/>
              </w:rPr>
              <w:t>Millones de quetzales</w:t>
            </w:r>
          </w:p>
        </w:tc>
      </w:tr>
      <w:tr w:rsidR="00147E7A" w:rsidTr="007B2090">
        <w:tc>
          <w:tcPr>
            <w:tcW w:w="4489" w:type="dxa"/>
          </w:tcPr>
          <w:p w:rsidR="00147E7A" w:rsidRDefault="00147E7A" w:rsidP="007B2090">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17749161" wp14:editId="6DFA03F0">
                  <wp:extent cx="2752725" cy="1990725"/>
                  <wp:effectExtent l="0" t="0" r="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489" w:type="dxa"/>
          </w:tcPr>
          <w:p w:rsidR="00147E7A" w:rsidRDefault="00147E7A" w:rsidP="007B2090">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2B75F5E4" wp14:editId="6766EE4A">
                  <wp:extent cx="2733675" cy="1990725"/>
                  <wp:effectExtent l="0" t="0" r="0" b="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147E7A" w:rsidRDefault="00147E7A" w:rsidP="00147E7A">
      <w:pPr>
        <w:jc w:val="both"/>
        <w:rPr>
          <w:rFonts w:ascii="Times New Roman" w:hAnsi="Times New Roman" w:cs="Times New Roman"/>
          <w:sz w:val="16"/>
          <w:lang w:val="es-MX"/>
        </w:rPr>
      </w:pPr>
      <w:r w:rsidRPr="007928A4">
        <w:rPr>
          <w:rFonts w:ascii="Times New Roman" w:hAnsi="Times New Roman" w:cs="Times New Roman"/>
          <w:sz w:val="16"/>
          <w:lang w:val="es-MX"/>
        </w:rPr>
        <w:t>Fuente: Dirección de Análisis y Política Fiscal</w:t>
      </w:r>
    </w:p>
    <w:p w:rsidR="00147E7A" w:rsidRPr="007928A4" w:rsidRDefault="00147E7A" w:rsidP="00147E7A">
      <w:pPr>
        <w:jc w:val="both"/>
        <w:rPr>
          <w:rFonts w:ascii="Times New Roman" w:hAnsi="Times New Roman" w:cs="Times New Roman"/>
          <w:sz w:val="16"/>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Parte de las reformas que afrontó la SAT luego de las últimas capturas fue el nombramiento del Superintendente, el cual dentro de sus principales objetivos fijó la recuperación de la confianza de la institución.  Con este nombramiento y con la ayuda de organismos internacionales, se gestionó la depuración del ente recaudador, empezando con el cambio en  las gerencias de infraestructura, informática y planificación,  las intendencias de recaudación, jurídica, fiscalización y aduanas, y un buen número de plazas operativas y jefaturas.</w:t>
      </w: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Luego de estos cambios, los frutos empiezan a visualizarse y sobre la marcha de las contrataciones en los puestos operativos empiezan a sonar casos de recuperación de adeudos tributarios de ejercicios anteriores.  A partir de mayo, la SAT da trámite a esta cartera de adeudos tributarios siendo una cadena de farmacias, una empresa industrial de acero y una embotelladora de bebidas gaseosas los primeros en ser intervenidos y por las cuales ingresen a las arcas del estado Q</w:t>
      </w:r>
      <w:r w:rsidR="008C52F4">
        <w:rPr>
          <w:rFonts w:ascii="Times New Roman" w:hAnsi="Times New Roman" w:cs="Times New Roman"/>
          <w:lang w:val="es-MX"/>
        </w:rPr>
        <w:t xml:space="preserve"> </w:t>
      </w:r>
      <w:r>
        <w:rPr>
          <w:rFonts w:ascii="Times New Roman" w:hAnsi="Times New Roman" w:cs="Times New Roman"/>
          <w:lang w:val="es-MX"/>
        </w:rPr>
        <w:t>829.2 millones aproximadamente, con lo cual la brecha negativa de recaudación de Q</w:t>
      </w:r>
      <w:r w:rsidR="008C52F4">
        <w:rPr>
          <w:rFonts w:ascii="Times New Roman" w:hAnsi="Times New Roman" w:cs="Times New Roman"/>
          <w:lang w:val="es-MX"/>
        </w:rPr>
        <w:t xml:space="preserve"> </w:t>
      </w:r>
      <w:r>
        <w:rPr>
          <w:rFonts w:ascii="Times New Roman" w:hAnsi="Times New Roman" w:cs="Times New Roman"/>
          <w:lang w:val="es-MX"/>
        </w:rPr>
        <w:t>756.1 millones observada en abril se logra cerrar (pero negativa) ubicándola en Q</w:t>
      </w:r>
      <w:r w:rsidR="008C52F4">
        <w:rPr>
          <w:rFonts w:ascii="Times New Roman" w:hAnsi="Times New Roman" w:cs="Times New Roman"/>
          <w:lang w:val="es-MX"/>
        </w:rPr>
        <w:t xml:space="preserve"> </w:t>
      </w:r>
      <w:r>
        <w:rPr>
          <w:rFonts w:ascii="Times New Roman" w:hAnsi="Times New Roman" w:cs="Times New Roman"/>
          <w:lang w:val="es-MX"/>
        </w:rPr>
        <w:t xml:space="preserve">214.9 millones.  A pesar de este esfuerzo, la recaudación ordinaria no presenta mayores sobresaltos, en mayo la recaudación de IVA asociado a las importaciones </w:t>
      </w:r>
      <w:r>
        <w:rPr>
          <w:rFonts w:ascii="Times New Roman" w:hAnsi="Times New Roman" w:cs="Times New Roman"/>
          <w:lang w:val="es-MX"/>
        </w:rPr>
        <w:lastRenderedPageBreak/>
        <w:t>continua cayendo, incluso respecto a lo observado el año anterior y el IVA doméstico no logra alcanzar la meta establecida en el presupuesto. El crecimiento interanual de la recaudación acumulada a mayo se situó en 6.3%, pero inferior en 1% respecto a lo programado en presupuesto.</w:t>
      </w:r>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Al mes de junio la recaudación ordinaria continua creciendo de manera interanual (6.5%) pero con respecto a la meta establecida en presupuesto la caída es de 1.1%, ligeramente mayor a la observada en mayo (1%).  La brecha negativa respecto a la meta de presupuesto es de Q</w:t>
      </w:r>
      <w:r w:rsidR="008C52F4">
        <w:rPr>
          <w:rFonts w:ascii="Times New Roman" w:hAnsi="Times New Roman" w:cs="Times New Roman"/>
          <w:lang w:val="es-MX"/>
        </w:rPr>
        <w:t xml:space="preserve"> </w:t>
      </w:r>
      <w:r>
        <w:rPr>
          <w:rFonts w:ascii="Times New Roman" w:hAnsi="Times New Roman" w:cs="Times New Roman"/>
          <w:lang w:val="es-MX"/>
        </w:rPr>
        <w:t xml:space="preserve">295.7 millones, esto influenciado por el deterioro en el IVA asociado a las importaciones </w:t>
      </w:r>
      <w:r w:rsidRPr="002367D3">
        <w:rPr>
          <w:rFonts w:ascii="Times New Roman" w:hAnsi="Times New Roman" w:cs="Times New Roman"/>
          <w:i/>
          <w:lang w:val="es-MX"/>
        </w:rPr>
        <w:t>(a mayo las importaciones gravadas caen 3.5%)</w:t>
      </w:r>
      <w:r>
        <w:rPr>
          <w:rFonts w:ascii="Times New Roman" w:hAnsi="Times New Roman" w:cs="Times New Roman"/>
          <w:lang w:val="es-MX"/>
        </w:rPr>
        <w:t xml:space="preserve"> y a la caída gradual del IVA doméstico</w:t>
      </w:r>
      <w:r>
        <w:rPr>
          <w:rStyle w:val="Refdenotaalpie"/>
          <w:rFonts w:ascii="Times New Roman" w:hAnsi="Times New Roman" w:cs="Times New Roman"/>
          <w:lang w:val="es-MX"/>
        </w:rPr>
        <w:footnoteReference w:id="2"/>
      </w:r>
      <w:r>
        <w:rPr>
          <w:rFonts w:ascii="Times New Roman" w:hAnsi="Times New Roman" w:cs="Times New Roman"/>
          <w:lang w:val="es-MX"/>
        </w:rPr>
        <w:t>.  Aspectos importantes que pueden estar influenciado la dinámica obedecen a una desaceleración en el crecimiento de la economía, el cual medido a través el índice mensual de actividad económica, refleja un crecimiento de 2.7%.  A la misma fecha del año anterior, el crecimiento era de 4.2%.  Si bien la brecha respecto a la meta de presupuesto no ha crecido fuertemente, es preciso indicar que el estancamiento obedece más a recuperación de adeudos tributarios y no a la recaudación ordinaria.  Si se extrae de la serie la recaudación de las medidas conocidas, la brecha respecto a presupuesto seria de Q</w:t>
      </w:r>
      <w:r w:rsidR="008C52F4">
        <w:rPr>
          <w:rFonts w:ascii="Times New Roman" w:hAnsi="Times New Roman" w:cs="Times New Roman"/>
          <w:lang w:val="es-MX"/>
        </w:rPr>
        <w:t xml:space="preserve"> </w:t>
      </w:r>
      <w:r>
        <w:rPr>
          <w:rFonts w:ascii="Times New Roman" w:hAnsi="Times New Roman" w:cs="Times New Roman"/>
          <w:lang w:val="es-MX"/>
        </w:rPr>
        <w:t>1,125 millones y el crecimiento interanual seria de 3.1%, por lo que este aspecto es muy importante tener en cuenta para la administración tributaria a efecto de que ponga en marcha acciones de corto plazo para garantizar el crecimiento de la recaudación ordinaria</w:t>
      </w:r>
      <w:r>
        <w:rPr>
          <w:rStyle w:val="Refdenotaalpie"/>
          <w:rFonts w:ascii="Times New Roman" w:hAnsi="Times New Roman" w:cs="Times New Roman"/>
          <w:lang w:val="es-MX"/>
        </w:rPr>
        <w:footnoteReference w:id="3"/>
      </w:r>
      <w:r>
        <w:rPr>
          <w:rFonts w:ascii="Times New Roman" w:hAnsi="Times New Roman" w:cs="Times New Roman"/>
          <w:lang w:val="es-MX"/>
        </w:rPr>
        <w:t>.</w:t>
      </w:r>
    </w:p>
    <w:p w:rsidR="00147E7A" w:rsidRDefault="00147E7A" w:rsidP="00147E7A">
      <w:pPr>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26"/>
      </w:tblGrid>
      <w:tr w:rsidR="00147E7A" w:rsidTr="007B2090">
        <w:tc>
          <w:tcPr>
            <w:tcW w:w="4534" w:type="dxa"/>
          </w:tcPr>
          <w:p w:rsidR="00147E7A" w:rsidRPr="00D3648C" w:rsidRDefault="00147E7A" w:rsidP="007B2090">
            <w:pPr>
              <w:jc w:val="center"/>
              <w:rPr>
                <w:rFonts w:ascii="Times New Roman" w:hAnsi="Times New Roman" w:cs="Times New Roman"/>
                <w:b/>
                <w:lang w:val="es-MX"/>
              </w:rPr>
            </w:pPr>
            <w:r w:rsidRPr="00D3648C">
              <w:rPr>
                <w:rFonts w:ascii="Times New Roman" w:hAnsi="Times New Roman" w:cs="Times New Roman"/>
                <w:b/>
                <w:lang w:val="es-MX"/>
              </w:rPr>
              <w:t>Estructura de los principales impuestos</w:t>
            </w:r>
            <w:r>
              <w:rPr>
                <w:rFonts w:ascii="Times New Roman" w:hAnsi="Times New Roman" w:cs="Times New Roman"/>
                <w:b/>
                <w:lang w:val="es-MX"/>
              </w:rPr>
              <w:t xml:space="preserve"> a junio en Porcentaje</w:t>
            </w:r>
          </w:p>
        </w:tc>
        <w:tc>
          <w:tcPr>
            <w:tcW w:w="4520" w:type="dxa"/>
          </w:tcPr>
          <w:p w:rsidR="00147E7A" w:rsidRDefault="00147E7A" w:rsidP="007B2090">
            <w:pPr>
              <w:jc w:val="center"/>
              <w:rPr>
                <w:rFonts w:ascii="Times New Roman" w:hAnsi="Times New Roman" w:cs="Times New Roman"/>
                <w:b/>
                <w:lang w:val="es-MX"/>
              </w:rPr>
            </w:pPr>
            <w:r>
              <w:rPr>
                <w:rFonts w:ascii="Times New Roman" w:hAnsi="Times New Roman" w:cs="Times New Roman"/>
                <w:b/>
                <w:lang w:val="es-MX"/>
              </w:rPr>
              <w:t xml:space="preserve">Segundo </w:t>
            </w:r>
            <w:r w:rsidRPr="003966AA">
              <w:rPr>
                <w:rFonts w:ascii="Times New Roman" w:hAnsi="Times New Roman" w:cs="Times New Roman"/>
                <w:b/>
                <w:lang w:val="es-MX"/>
              </w:rPr>
              <w:t>trimestre de recaudación tributaria</w:t>
            </w:r>
          </w:p>
          <w:p w:rsidR="00147E7A" w:rsidRPr="003966AA" w:rsidRDefault="00147E7A" w:rsidP="007B2090">
            <w:pPr>
              <w:jc w:val="center"/>
              <w:rPr>
                <w:rFonts w:ascii="Times New Roman" w:hAnsi="Times New Roman" w:cs="Times New Roman"/>
                <w:b/>
                <w:lang w:val="es-MX"/>
              </w:rPr>
            </w:pPr>
            <w:r>
              <w:rPr>
                <w:rFonts w:ascii="Times New Roman" w:hAnsi="Times New Roman" w:cs="Times New Roman"/>
                <w:b/>
                <w:lang w:val="es-MX"/>
              </w:rPr>
              <w:t>Millones de quetzales</w:t>
            </w:r>
          </w:p>
        </w:tc>
      </w:tr>
      <w:tr w:rsidR="00147E7A" w:rsidTr="007B2090">
        <w:tc>
          <w:tcPr>
            <w:tcW w:w="4534" w:type="dxa"/>
          </w:tcPr>
          <w:p w:rsidR="00147E7A" w:rsidRDefault="00147E7A" w:rsidP="007B2090">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72D06B24" wp14:editId="40AB3140">
                  <wp:extent cx="2752725" cy="2495550"/>
                  <wp:effectExtent l="0" t="0" r="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520" w:type="dxa"/>
          </w:tcPr>
          <w:p w:rsidR="00147E7A" w:rsidRDefault="00147E7A" w:rsidP="007B2090">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28D30C2" wp14:editId="7D94210B">
                  <wp:extent cx="2733675" cy="2428875"/>
                  <wp:effectExtent l="0" t="0" r="28575"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147E7A" w:rsidRPr="008353C3" w:rsidRDefault="00147E7A" w:rsidP="00147E7A">
      <w:pPr>
        <w:jc w:val="both"/>
        <w:rPr>
          <w:rFonts w:ascii="Times New Roman" w:hAnsi="Times New Roman" w:cs="Times New Roman"/>
          <w:sz w:val="16"/>
          <w:lang w:val="es-MX"/>
        </w:rPr>
      </w:pPr>
      <w:r w:rsidRPr="007928A4">
        <w:rPr>
          <w:rFonts w:ascii="Times New Roman" w:hAnsi="Times New Roman" w:cs="Times New Roman"/>
          <w:sz w:val="16"/>
          <w:lang w:val="es-MX"/>
        </w:rPr>
        <w:t>Fuente: Dirección de Análisis y Política Fiscal</w:t>
      </w:r>
    </w:p>
    <w:p w:rsidR="00147E7A" w:rsidRPr="008353C3" w:rsidRDefault="00147E7A" w:rsidP="008C52F4">
      <w:pPr>
        <w:pStyle w:val="Ttulo2"/>
        <w:rPr>
          <w:rFonts w:ascii="Times New Roman" w:hAnsi="Times New Roman" w:cs="Times New Roman"/>
          <w:color w:val="auto"/>
          <w:sz w:val="24"/>
        </w:rPr>
      </w:pPr>
      <w:bookmarkStart w:id="13" w:name="_Toc457550829"/>
      <w:r w:rsidRPr="008353C3">
        <w:rPr>
          <w:rFonts w:ascii="Times New Roman" w:hAnsi="Times New Roman" w:cs="Times New Roman"/>
          <w:color w:val="auto"/>
          <w:sz w:val="24"/>
        </w:rPr>
        <w:lastRenderedPageBreak/>
        <w:t>2.3  Recaudación por impuesto</w:t>
      </w:r>
      <w:bookmarkEnd w:id="13"/>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 xml:space="preserve">El balance de la recaudación tributaria a junio 2016 marca un crecimiento interanual de 6.5%  y un incumplimiento de 1.1% de la meta establecida en presupuesto.  El resultado respecto a presupuesto obedece a rendimiento positivo en impuestos como el ISR, los derechos arancelarios a la importación, el impuesto a la distribución de los derivados del petróleo, el de circulación de vehículos e impuesto a la primera matrícula el de bebidas y cemento, aspectos negativos como el deterioro en el IVA total impulsado principalmente por el IVA importaciones, el impuesto a los timbres el de tabacos y los impuestos no administrados por SAT </w:t>
      </w:r>
      <w:r w:rsidRPr="00FB34C8">
        <w:rPr>
          <w:rFonts w:ascii="Times New Roman" w:hAnsi="Times New Roman" w:cs="Times New Roman"/>
          <w:i/>
          <w:lang w:val="es-MX"/>
        </w:rPr>
        <w:t>(regalías e hidrocarburos compartibles y el de salidas del país)</w:t>
      </w:r>
      <w:r>
        <w:rPr>
          <w:rFonts w:ascii="Times New Roman" w:hAnsi="Times New Roman" w:cs="Times New Roman"/>
          <w:lang w:val="es-MX"/>
        </w:rPr>
        <w:t>, respecto a 2015 los únicos impuestos que tienen rendimiento negativo son el IVA asociado a las importaciones, impuesto a los tabacos el cemento y los no administrados por SAT.</w:t>
      </w:r>
    </w:p>
    <w:p w:rsidR="00147E7A" w:rsidRDefault="00147E7A" w:rsidP="008C52F4">
      <w:pPr>
        <w:rPr>
          <w:rFonts w:ascii="Times New Roman" w:hAnsi="Times New Roman" w:cs="Times New Roman"/>
          <w:b/>
          <w:lang w:val="es-MX"/>
        </w:rPr>
      </w:pPr>
    </w:p>
    <w:p w:rsidR="00147E7A" w:rsidRPr="008C52F4" w:rsidRDefault="00147E7A" w:rsidP="00147E7A">
      <w:pPr>
        <w:jc w:val="center"/>
        <w:rPr>
          <w:rFonts w:ascii="Times New Roman" w:hAnsi="Times New Roman" w:cs="Times New Roman"/>
          <w:b/>
          <w:lang w:val="es-MX"/>
        </w:rPr>
      </w:pPr>
      <w:r w:rsidRPr="008C52F4">
        <w:rPr>
          <w:rFonts w:ascii="Times New Roman" w:hAnsi="Times New Roman" w:cs="Times New Roman"/>
          <w:b/>
          <w:lang w:val="es-MX"/>
        </w:rPr>
        <w:t>Balance de recaudación tributaria respecto a 2015 y meta de presupuesto</w:t>
      </w:r>
    </w:p>
    <w:p w:rsidR="00147E7A" w:rsidRPr="008C52F4" w:rsidRDefault="00147E7A" w:rsidP="00147E7A">
      <w:pPr>
        <w:jc w:val="center"/>
        <w:rPr>
          <w:rFonts w:ascii="Times New Roman" w:hAnsi="Times New Roman" w:cs="Times New Roman"/>
          <w:b/>
          <w:sz w:val="22"/>
          <w:lang w:val="es-MX"/>
        </w:rPr>
      </w:pPr>
      <w:r w:rsidRPr="008C52F4">
        <w:rPr>
          <w:rFonts w:ascii="Times New Roman" w:hAnsi="Times New Roman" w:cs="Times New Roman"/>
          <w:b/>
          <w:sz w:val="22"/>
          <w:lang w:val="es-MX"/>
        </w:rPr>
        <w:t>Millones de quetzales</w:t>
      </w:r>
    </w:p>
    <w:p w:rsidR="00147E7A" w:rsidRDefault="00147E7A" w:rsidP="00147E7A">
      <w:pPr>
        <w:jc w:val="both"/>
        <w:rPr>
          <w:rFonts w:ascii="Times New Roman" w:hAnsi="Times New Roman" w:cs="Times New Roman"/>
          <w:lang w:val="es-MX"/>
        </w:rPr>
      </w:pPr>
      <w:r>
        <w:rPr>
          <w:rFonts w:ascii="Times New Roman" w:hAnsi="Times New Roman" w:cs="Times New Roman"/>
          <w:noProof/>
          <w:lang w:val="es-GT" w:eastAsia="es-GT"/>
        </w:rPr>
        <w:drawing>
          <wp:inline distT="0" distB="0" distL="0" distR="0" wp14:anchorId="36C4A766" wp14:editId="3156BCF6">
            <wp:extent cx="5486400" cy="4221125"/>
            <wp:effectExtent l="0" t="0" r="0" b="8255"/>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7E7A" w:rsidRDefault="00147E7A" w:rsidP="00147E7A">
      <w:pPr>
        <w:jc w:val="both"/>
        <w:rPr>
          <w:rFonts w:ascii="Times New Roman" w:hAnsi="Times New Roman" w:cs="Times New Roman"/>
          <w:sz w:val="16"/>
          <w:lang w:val="es-MX"/>
        </w:rPr>
      </w:pPr>
      <w:r>
        <w:rPr>
          <w:rFonts w:ascii="Times New Roman" w:hAnsi="Times New Roman" w:cs="Times New Roman"/>
          <w:lang w:val="es-MX"/>
        </w:rPr>
        <w:t xml:space="preserve"> </w:t>
      </w:r>
      <w:r w:rsidRPr="007928A4">
        <w:rPr>
          <w:rFonts w:ascii="Times New Roman" w:hAnsi="Times New Roman" w:cs="Times New Roman"/>
          <w:sz w:val="16"/>
          <w:lang w:val="es-MX"/>
        </w:rPr>
        <w:t>Fuente: Dirección de Análisis y Política Fiscal</w:t>
      </w:r>
    </w:p>
    <w:p w:rsidR="00147E7A" w:rsidRDefault="00147E7A" w:rsidP="00147E7A">
      <w:pPr>
        <w:jc w:val="both"/>
        <w:rPr>
          <w:rFonts w:ascii="Times New Roman" w:hAnsi="Times New Roman" w:cs="Times New Roman"/>
          <w:b/>
          <w:lang w:val="es-MX"/>
        </w:rPr>
      </w:pPr>
    </w:p>
    <w:p w:rsidR="008C52F4" w:rsidRDefault="008C52F4" w:rsidP="00147E7A">
      <w:pPr>
        <w:jc w:val="both"/>
        <w:rPr>
          <w:rFonts w:ascii="Times New Roman" w:hAnsi="Times New Roman" w:cs="Times New Roman"/>
          <w:b/>
          <w:lang w:val="es-MX"/>
        </w:rPr>
      </w:pPr>
    </w:p>
    <w:p w:rsidR="008C52F4" w:rsidRDefault="008C52F4" w:rsidP="00147E7A">
      <w:pPr>
        <w:jc w:val="both"/>
        <w:rPr>
          <w:rFonts w:ascii="Times New Roman" w:hAnsi="Times New Roman" w:cs="Times New Roman"/>
          <w:b/>
          <w:lang w:val="es-MX"/>
        </w:rPr>
      </w:pPr>
    </w:p>
    <w:p w:rsidR="00147E7A" w:rsidRPr="008C52F4" w:rsidRDefault="00147E7A" w:rsidP="008C52F4">
      <w:pPr>
        <w:pStyle w:val="Ttulo3"/>
        <w:rPr>
          <w:rFonts w:ascii="Times New Roman" w:hAnsi="Times New Roman" w:cs="Times New Roman"/>
          <w:lang w:val="es-MX"/>
        </w:rPr>
      </w:pPr>
      <w:bookmarkStart w:id="14" w:name="_Toc457550830"/>
      <w:r w:rsidRPr="008C52F4">
        <w:rPr>
          <w:rFonts w:ascii="Times New Roman" w:eastAsiaTheme="minorHAnsi" w:hAnsi="Times New Roman" w:cs="Times New Roman"/>
          <w:bCs w:val="0"/>
          <w:color w:val="auto"/>
          <w:sz w:val="22"/>
          <w:szCs w:val="22"/>
          <w:lang w:val="es-MX" w:eastAsia="en-US"/>
        </w:rPr>
        <w:lastRenderedPageBreak/>
        <w:t>2.3.1</w:t>
      </w:r>
      <w:r w:rsidRPr="008C52F4">
        <w:rPr>
          <w:rFonts w:ascii="Times New Roman" w:hAnsi="Times New Roman" w:cs="Times New Roman"/>
          <w:color w:val="auto"/>
          <w:lang w:val="es-MX"/>
        </w:rPr>
        <w:t xml:space="preserve">  Impuesto sobre la renta</w:t>
      </w:r>
      <w:bookmarkEnd w:id="14"/>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El ISR luego de vencimientos importantes como la liquidación anual en el mes de marzo y el primer pago trimestral en abril ha mostrado fluctuaciones importantes.  A marzo se tenía una brecha negativa de Q</w:t>
      </w:r>
      <w:r w:rsidR="008C52F4">
        <w:rPr>
          <w:rFonts w:ascii="Times New Roman" w:hAnsi="Times New Roman" w:cs="Times New Roman"/>
          <w:lang w:val="es-MX"/>
        </w:rPr>
        <w:t xml:space="preserve"> </w:t>
      </w:r>
      <w:r>
        <w:rPr>
          <w:rFonts w:ascii="Times New Roman" w:hAnsi="Times New Roman" w:cs="Times New Roman"/>
          <w:lang w:val="es-MX"/>
        </w:rPr>
        <w:t>171 millones respecto a la meta de presupuesto la cual luego del primer pago trimestral se amplió a Q</w:t>
      </w:r>
      <w:r w:rsidR="008C52F4">
        <w:rPr>
          <w:rFonts w:ascii="Times New Roman" w:hAnsi="Times New Roman" w:cs="Times New Roman"/>
          <w:lang w:val="es-MX"/>
        </w:rPr>
        <w:t xml:space="preserve"> </w:t>
      </w:r>
      <w:r>
        <w:rPr>
          <w:rFonts w:ascii="Times New Roman" w:hAnsi="Times New Roman" w:cs="Times New Roman"/>
          <w:lang w:val="es-MX"/>
        </w:rPr>
        <w:t>331.2 millones, el comportamiento de este impuesto marcaba una tendencia a la baja razón por lo cual se demandaban acciones inmediatas.</w:t>
      </w:r>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En mayo el ente recaudador como parte de las medidas administrativas planteadas empieza con el seguimiento de casos de adeudos tributarios lo que significo en una mejora significativa en el desempeño de este impuesto.  El principal caso, asociado a una empresa industrial de acero revertieron la brecha negativa al mes de abril, pasando a valores positivos de Q</w:t>
      </w:r>
      <w:r w:rsidR="008C52F4">
        <w:rPr>
          <w:rFonts w:ascii="Times New Roman" w:hAnsi="Times New Roman" w:cs="Times New Roman"/>
          <w:lang w:val="es-MX"/>
        </w:rPr>
        <w:t xml:space="preserve"> </w:t>
      </w:r>
      <w:r>
        <w:rPr>
          <w:rFonts w:ascii="Times New Roman" w:hAnsi="Times New Roman" w:cs="Times New Roman"/>
          <w:lang w:val="es-MX"/>
        </w:rPr>
        <w:t>177.8 millones por arriba de la meta establecida en presupuesto, y con relación al año anterior se observó un crecimiento de 11.9% (Q</w:t>
      </w:r>
      <w:r w:rsidR="008C52F4">
        <w:rPr>
          <w:rFonts w:ascii="Times New Roman" w:hAnsi="Times New Roman" w:cs="Times New Roman"/>
          <w:lang w:val="es-MX"/>
        </w:rPr>
        <w:t xml:space="preserve"> </w:t>
      </w:r>
      <w:r>
        <w:rPr>
          <w:rFonts w:ascii="Times New Roman" w:hAnsi="Times New Roman" w:cs="Times New Roman"/>
          <w:lang w:val="es-MX"/>
        </w:rPr>
        <w:t>716 millones).  No obstante lo anterior, a junio la brecha continua con signo positivo respecto al año anterior Q</w:t>
      </w:r>
      <w:r w:rsidR="008C52F4">
        <w:rPr>
          <w:rFonts w:ascii="Times New Roman" w:hAnsi="Times New Roman" w:cs="Times New Roman"/>
          <w:lang w:val="es-MX"/>
        </w:rPr>
        <w:t xml:space="preserve"> </w:t>
      </w:r>
      <w:r>
        <w:rPr>
          <w:rFonts w:ascii="Times New Roman" w:hAnsi="Times New Roman" w:cs="Times New Roman"/>
          <w:lang w:val="es-MX"/>
        </w:rPr>
        <w:t>898.1 millones (crecimiento de 13.2%) y respecto a la meta de presupuesto Q</w:t>
      </w:r>
      <w:r w:rsidR="008C52F4">
        <w:rPr>
          <w:rFonts w:ascii="Times New Roman" w:hAnsi="Times New Roman" w:cs="Times New Roman"/>
          <w:lang w:val="es-MX"/>
        </w:rPr>
        <w:t xml:space="preserve"> </w:t>
      </w:r>
      <w:r>
        <w:rPr>
          <w:rFonts w:ascii="Times New Roman" w:hAnsi="Times New Roman" w:cs="Times New Roman"/>
          <w:lang w:val="es-MX"/>
        </w:rPr>
        <w:t>220.8 millones (crecimiento de 2.9%).</w:t>
      </w:r>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De conformidad a los regímenes del impuesto sobre la renta, se puede observar un crecimiento de 11.5% en el régimen de empleados en relación de dependencia (Q</w:t>
      </w:r>
      <w:r w:rsidR="008C52F4">
        <w:rPr>
          <w:rFonts w:ascii="Times New Roman" w:hAnsi="Times New Roman" w:cs="Times New Roman"/>
          <w:lang w:val="es-MX"/>
        </w:rPr>
        <w:t xml:space="preserve"> </w:t>
      </w:r>
      <w:r>
        <w:rPr>
          <w:rFonts w:ascii="Times New Roman" w:hAnsi="Times New Roman" w:cs="Times New Roman"/>
          <w:lang w:val="es-MX"/>
        </w:rPr>
        <w:t>66.4 millones) y las retenciones a no domiciliados que crecen 32.3% (Q</w:t>
      </w:r>
      <w:r w:rsidR="008C52F4">
        <w:rPr>
          <w:rFonts w:ascii="Times New Roman" w:hAnsi="Times New Roman" w:cs="Times New Roman"/>
          <w:lang w:val="es-MX"/>
        </w:rPr>
        <w:t xml:space="preserve"> </w:t>
      </w:r>
      <w:r>
        <w:rPr>
          <w:rFonts w:ascii="Times New Roman" w:hAnsi="Times New Roman" w:cs="Times New Roman"/>
          <w:lang w:val="es-MX"/>
        </w:rPr>
        <w:t>291.3 millones).  Si a estos resultados se les resta la recaudación extraordinaria de Q</w:t>
      </w:r>
      <w:r w:rsidR="008C52F4">
        <w:rPr>
          <w:rFonts w:ascii="Times New Roman" w:hAnsi="Times New Roman" w:cs="Times New Roman"/>
          <w:lang w:val="es-MX"/>
        </w:rPr>
        <w:t xml:space="preserve"> </w:t>
      </w:r>
      <w:r>
        <w:rPr>
          <w:rFonts w:ascii="Times New Roman" w:hAnsi="Times New Roman" w:cs="Times New Roman"/>
          <w:lang w:val="es-MX"/>
        </w:rPr>
        <w:t>589.9 millones por concepto de adeudos, el resultado varía respecto al año anterior pues sigue siendo positivo pero en menor cuantía (4.5% = Q</w:t>
      </w:r>
      <w:r w:rsidR="008C52F4">
        <w:rPr>
          <w:rFonts w:ascii="Times New Roman" w:hAnsi="Times New Roman" w:cs="Times New Roman"/>
          <w:lang w:val="es-MX"/>
        </w:rPr>
        <w:t xml:space="preserve"> </w:t>
      </w:r>
      <w:r>
        <w:rPr>
          <w:rFonts w:ascii="Times New Roman" w:hAnsi="Times New Roman" w:cs="Times New Roman"/>
          <w:lang w:val="es-MX"/>
        </w:rPr>
        <w:t>308.2 millones) y respecto a la meta de presupuesto es negativa en 4.9% (Q</w:t>
      </w:r>
      <w:r w:rsidR="008C52F4">
        <w:rPr>
          <w:rFonts w:ascii="Times New Roman" w:hAnsi="Times New Roman" w:cs="Times New Roman"/>
          <w:lang w:val="es-MX"/>
        </w:rPr>
        <w:t xml:space="preserve"> </w:t>
      </w:r>
      <w:r>
        <w:rPr>
          <w:rFonts w:ascii="Times New Roman" w:hAnsi="Times New Roman" w:cs="Times New Roman"/>
          <w:lang w:val="es-MX"/>
        </w:rPr>
        <w:t>369.1 millones).</w:t>
      </w:r>
    </w:p>
    <w:p w:rsidR="00147E7A" w:rsidRDefault="00147E7A" w:rsidP="00147E7A">
      <w:pPr>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497"/>
      </w:tblGrid>
      <w:tr w:rsidR="00147E7A" w:rsidTr="007B2090">
        <w:tc>
          <w:tcPr>
            <w:tcW w:w="4527" w:type="dxa"/>
          </w:tcPr>
          <w:p w:rsidR="00147E7A" w:rsidRPr="005B2979" w:rsidRDefault="00147E7A" w:rsidP="007B2090">
            <w:pPr>
              <w:jc w:val="center"/>
              <w:rPr>
                <w:rFonts w:ascii="Times New Roman" w:hAnsi="Times New Roman" w:cs="Times New Roman"/>
                <w:b/>
                <w:lang w:val="es-MX"/>
              </w:rPr>
            </w:pPr>
            <w:r w:rsidRPr="005B2979">
              <w:rPr>
                <w:rFonts w:ascii="Times New Roman" w:hAnsi="Times New Roman" w:cs="Times New Roman"/>
                <w:b/>
                <w:lang w:val="es-MX"/>
              </w:rPr>
              <w:t>ISR a junio de cada año</w:t>
            </w:r>
          </w:p>
          <w:p w:rsidR="00147E7A" w:rsidRPr="008C52F4" w:rsidRDefault="00147E7A" w:rsidP="007B2090">
            <w:pPr>
              <w:jc w:val="center"/>
              <w:rPr>
                <w:rFonts w:ascii="Times New Roman" w:hAnsi="Times New Roman" w:cs="Times New Roman"/>
                <w:lang w:val="es-MX"/>
              </w:rPr>
            </w:pPr>
            <w:r w:rsidRPr="008C52F4">
              <w:rPr>
                <w:rFonts w:ascii="Times New Roman" w:hAnsi="Times New Roman" w:cs="Times New Roman"/>
                <w:lang w:val="es-MX"/>
              </w:rPr>
              <w:t>Porcentaje del PIB</w:t>
            </w:r>
          </w:p>
        </w:tc>
        <w:tc>
          <w:tcPr>
            <w:tcW w:w="4527" w:type="dxa"/>
          </w:tcPr>
          <w:p w:rsidR="00147E7A" w:rsidRPr="005B2979" w:rsidRDefault="00147E7A" w:rsidP="007B2090">
            <w:pPr>
              <w:jc w:val="center"/>
              <w:rPr>
                <w:rFonts w:ascii="Times New Roman" w:hAnsi="Times New Roman" w:cs="Times New Roman"/>
                <w:b/>
                <w:lang w:val="es-MX"/>
              </w:rPr>
            </w:pPr>
            <w:r w:rsidRPr="005B2979">
              <w:rPr>
                <w:rFonts w:ascii="Times New Roman" w:hAnsi="Times New Roman" w:cs="Times New Roman"/>
                <w:b/>
                <w:lang w:val="es-MX"/>
              </w:rPr>
              <w:t>ISR por régimen</w:t>
            </w:r>
          </w:p>
          <w:p w:rsidR="00147E7A" w:rsidRPr="008C52F4" w:rsidRDefault="00147E7A" w:rsidP="007B2090">
            <w:pPr>
              <w:jc w:val="center"/>
              <w:rPr>
                <w:rFonts w:ascii="Times New Roman" w:hAnsi="Times New Roman" w:cs="Times New Roman"/>
                <w:lang w:val="es-MX"/>
              </w:rPr>
            </w:pPr>
            <w:r w:rsidRPr="008C52F4">
              <w:rPr>
                <w:rFonts w:ascii="Times New Roman" w:hAnsi="Times New Roman" w:cs="Times New Roman"/>
                <w:lang w:val="es-MX"/>
              </w:rPr>
              <w:t>Variación</w:t>
            </w:r>
          </w:p>
        </w:tc>
      </w:tr>
      <w:tr w:rsidR="00147E7A" w:rsidTr="007B2090">
        <w:tc>
          <w:tcPr>
            <w:tcW w:w="4527" w:type="dxa"/>
          </w:tcPr>
          <w:p w:rsidR="00147E7A" w:rsidRDefault="00147E7A" w:rsidP="007B2090">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679BF917" wp14:editId="65AFCB62">
                  <wp:extent cx="2752725" cy="2381250"/>
                  <wp:effectExtent l="0" t="0" r="0" b="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27" w:type="dxa"/>
          </w:tcPr>
          <w:p w:rsidR="00147E7A" w:rsidRDefault="00147E7A" w:rsidP="007B2090">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241A5B40" wp14:editId="222B6844">
                  <wp:extent cx="2857500" cy="2705100"/>
                  <wp:effectExtent l="0" t="0" r="0" b="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47E7A" w:rsidTr="007B2090">
        <w:tc>
          <w:tcPr>
            <w:tcW w:w="4527" w:type="dxa"/>
          </w:tcPr>
          <w:p w:rsidR="00147E7A" w:rsidRPr="005B2979" w:rsidRDefault="00147E7A" w:rsidP="007B2090">
            <w:pPr>
              <w:jc w:val="center"/>
              <w:rPr>
                <w:rFonts w:ascii="Times New Roman" w:hAnsi="Times New Roman" w:cs="Times New Roman"/>
                <w:b/>
                <w:lang w:val="es-MX"/>
              </w:rPr>
            </w:pPr>
            <w:r w:rsidRPr="005B2979">
              <w:rPr>
                <w:rFonts w:ascii="Times New Roman" w:hAnsi="Times New Roman" w:cs="Times New Roman"/>
                <w:b/>
                <w:lang w:val="es-MX"/>
              </w:rPr>
              <w:lastRenderedPageBreak/>
              <w:t>ISR a junio de cada año</w:t>
            </w:r>
            <w:r>
              <w:rPr>
                <w:rFonts w:ascii="Times New Roman" w:hAnsi="Times New Roman" w:cs="Times New Roman"/>
                <w:b/>
                <w:lang w:val="es-MX"/>
              </w:rPr>
              <w:t xml:space="preserve"> no incluye recaudación extraordinaria</w:t>
            </w:r>
          </w:p>
          <w:p w:rsidR="00147E7A" w:rsidRPr="008C52F4" w:rsidRDefault="00147E7A" w:rsidP="007B2090">
            <w:pPr>
              <w:jc w:val="center"/>
              <w:rPr>
                <w:rFonts w:ascii="Times New Roman" w:hAnsi="Times New Roman" w:cs="Times New Roman"/>
                <w:lang w:val="es-MX"/>
              </w:rPr>
            </w:pPr>
            <w:r w:rsidRPr="008C52F4">
              <w:rPr>
                <w:rFonts w:ascii="Times New Roman" w:hAnsi="Times New Roman" w:cs="Times New Roman"/>
                <w:lang w:val="es-MX"/>
              </w:rPr>
              <w:t>Porcentaje del PIB</w:t>
            </w:r>
          </w:p>
        </w:tc>
        <w:tc>
          <w:tcPr>
            <w:tcW w:w="4527" w:type="dxa"/>
          </w:tcPr>
          <w:p w:rsidR="00147E7A" w:rsidRDefault="00147E7A" w:rsidP="007B2090">
            <w:pPr>
              <w:jc w:val="center"/>
              <w:rPr>
                <w:rFonts w:ascii="Times New Roman" w:hAnsi="Times New Roman" w:cs="Times New Roman"/>
                <w:b/>
                <w:lang w:val="es-MX"/>
              </w:rPr>
            </w:pPr>
            <w:r w:rsidRPr="005B2979">
              <w:rPr>
                <w:rFonts w:ascii="Times New Roman" w:hAnsi="Times New Roman" w:cs="Times New Roman"/>
                <w:b/>
                <w:lang w:val="es-MX"/>
              </w:rPr>
              <w:t>ISR por régimen</w:t>
            </w:r>
            <w:r>
              <w:rPr>
                <w:rFonts w:ascii="Times New Roman" w:hAnsi="Times New Roman" w:cs="Times New Roman"/>
                <w:b/>
                <w:lang w:val="es-MX"/>
              </w:rPr>
              <w:t xml:space="preserve"> no incluye </w:t>
            </w:r>
          </w:p>
          <w:p w:rsidR="00147E7A" w:rsidRPr="005B2979" w:rsidRDefault="00147E7A" w:rsidP="007B2090">
            <w:pPr>
              <w:jc w:val="center"/>
              <w:rPr>
                <w:rFonts w:ascii="Times New Roman" w:hAnsi="Times New Roman" w:cs="Times New Roman"/>
                <w:b/>
                <w:lang w:val="es-MX"/>
              </w:rPr>
            </w:pPr>
            <w:r>
              <w:rPr>
                <w:rFonts w:ascii="Times New Roman" w:hAnsi="Times New Roman" w:cs="Times New Roman"/>
                <w:b/>
                <w:lang w:val="es-MX"/>
              </w:rPr>
              <w:t>recaudación extraordinaria</w:t>
            </w:r>
          </w:p>
          <w:p w:rsidR="00147E7A" w:rsidRPr="008C52F4" w:rsidRDefault="00147E7A" w:rsidP="007B2090">
            <w:pPr>
              <w:jc w:val="center"/>
              <w:rPr>
                <w:rFonts w:ascii="Times New Roman" w:hAnsi="Times New Roman" w:cs="Times New Roman"/>
                <w:lang w:val="es-MX"/>
              </w:rPr>
            </w:pPr>
            <w:r w:rsidRPr="008C52F4">
              <w:rPr>
                <w:rFonts w:ascii="Times New Roman" w:hAnsi="Times New Roman" w:cs="Times New Roman"/>
                <w:lang w:val="es-MX"/>
              </w:rPr>
              <w:t>Variación</w:t>
            </w:r>
          </w:p>
        </w:tc>
      </w:tr>
      <w:tr w:rsidR="00147E7A" w:rsidTr="007B2090">
        <w:tc>
          <w:tcPr>
            <w:tcW w:w="4527" w:type="dxa"/>
          </w:tcPr>
          <w:p w:rsidR="00147E7A" w:rsidRDefault="00147E7A" w:rsidP="007B2090">
            <w:pPr>
              <w:jc w:val="both"/>
              <w:rPr>
                <w:rFonts w:ascii="Times New Roman" w:hAnsi="Times New Roman" w:cs="Times New Roman"/>
                <w:lang w:val="es-MX"/>
              </w:rPr>
            </w:pPr>
            <w:r w:rsidRPr="00546852">
              <w:rPr>
                <w:rFonts w:ascii="Times New Roman" w:hAnsi="Times New Roman" w:cs="Times New Roman"/>
                <w:noProof/>
                <w:sz w:val="18"/>
                <w:lang w:eastAsia="es-GT"/>
              </w:rPr>
              <w:drawing>
                <wp:inline distT="0" distB="0" distL="0" distR="0" wp14:anchorId="764BAD26" wp14:editId="503E90B3">
                  <wp:extent cx="2751826" cy="2286000"/>
                  <wp:effectExtent l="0" t="0" r="0" b="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527" w:type="dxa"/>
          </w:tcPr>
          <w:p w:rsidR="00147E7A" w:rsidRDefault="00147E7A" w:rsidP="007B2090">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B4213A6" wp14:editId="00F87B02">
                  <wp:extent cx="2751827" cy="2286000"/>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147E7A" w:rsidRDefault="00147E7A" w:rsidP="00147E7A">
      <w:pPr>
        <w:jc w:val="both"/>
        <w:rPr>
          <w:rFonts w:ascii="Times New Roman" w:hAnsi="Times New Roman" w:cs="Times New Roman"/>
          <w:sz w:val="16"/>
          <w:lang w:val="es-MX"/>
        </w:rPr>
      </w:pPr>
      <w:r w:rsidRPr="00BF69D3">
        <w:rPr>
          <w:rFonts w:ascii="Times New Roman" w:hAnsi="Times New Roman" w:cs="Times New Roman"/>
          <w:sz w:val="16"/>
          <w:lang w:val="es-MX"/>
        </w:rPr>
        <w:t>Fuente: Dirección de Análisis y Política Fiscal</w:t>
      </w:r>
    </w:p>
    <w:p w:rsidR="00147E7A" w:rsidRPr="00BF69D3" w:rsidRDefault="00147E7A" w:rsidP="00147E7A">
      <w:pPr>
        <w:jc w:val="both"/>
        <w:rPr>
          <w:rFonts w:ascii="Times New Roman" w:hAnsi="Times New Roman" w:cs="Times New Roman"/>
          <w:sz w:val="16"/>
          <w:lang w:val="es-MX"/>
        </w:rPr>
      </w:pPr>
    </w:p>
    <w:p w:rsidR="00147E7A" w:rsidRPr="008C52F4" w:rsidRDefault="00147E7A" w:rsidP="008C52F4">
      <w:pPr>
        <w:pStyle w:val="Ttulo3"/>
        <w:rPr>
          <w:rFonts w:ascii="Times New Roman" w:hAnsi="Times New Roman" w:cs="Times New Roman"/>
          <w:lang w:val="es-MX"/>
        </w:rPr>
      </w:pPr>
      <w:bookmarkStart w:id="15" w:name="_Toc457550831"/>
      <w:r w:rsidRPr="008C52F4">
        <w:rPr>
          <w:rFonts w:ascii="Times New Roman" w:eastAsiaTheme="minorHAnsi" w:hAnsi="Times New Roman" w:cs="Times New Roman"/>
          <w:bCs w:val="0"/>
          <w:color w:val="auto"/>
          <w:sz w:val="22"/>
          <w:szCs w:val="22"/>
          <w:lang w:val="es-MX" w:eastAsia="en-US"/>
        </w:rPr>
        <w:t>2.3.2</w:t>
      </w:r>
      <w:r w:rsidRPr="008C52F4">
        <w:rPr>
          <w:rFonts w:ascii="Times New Roman" w:hAnsi="Times New Roman" w:cs="Times New Roman"/>
          <w:color w:val="auto"/>
          <w:lang w:val="es-MX"/>
        </w:rPr>
        <w:t xml:space="preserve">  Impuesto al valor agregado</w:t>
      </w:r>
      <w:bookmarkEnd w:id="15"/>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Este impuesto, de igual forma que el ISR, también tiene recaudación extraordinaria por concepto de adeudos tributarios por un monto de Q</w:t>
      </w:r>
      <w:r w:rsidR="008C52F4">
        <w:rPr>
          <w:rFonts w:ascii="Times New Roman" w:hAnsi="Times New Roman" w:cs="Times New Roman"/>
          <w:lang w:val="es-MX"/>
        </w:rPr>
        <w:t xml:space="preserve"> </w:t>
      </w:r>
      <w:r>
        <w:rPr>
          <w:rFonts w:ascii="Times New Roman" w:hAnsi="Times New Roman" w:cs="Times New Roman"/>
          <w:lang w:val="es-MX"/>
        </w:rPr>
        <w:t>239.3 millones.  El desempeño respecto al año anterior denota un crecimiento de 3% (Q</w:t>
      </w:r>
      <w:r w:rsidR="008C52F4">
        <w:rPr>
          <w:rFonts w:ascii="Times New Roman" w:hAnsi="Times New Roman" w:cs="Times New Roman"/>
          <w:lang w:val="es-MX"/>
        </w:rPr>
        <w:t xml:space="preserve"> </w:t>
      </w:r>
      <w:r>
        <w:rPr>
          <w:rFonts w:ascii="Times New Roman" w:hAnsi="Times New Roman" w:cs="Times New Roman"/>
          <w:lang w:val="es-MX"/>
        </w:rPr>
        <w:t>347.3 millones) y una caída del 6.3%</w:t>
      </w:r>
      <w:r w:rsidR="008C52F4">
        <w:rPr>
          <w:rFonts w:ascii="Times New Roman" w:hAnsi="Times New Roman" w:cs="Times New Roman"/>
          <w:lang w:val="es-MX"/>
        </w:rPr>
        <w:t xml:space="preserve">      </w:t>
      </w:r>
      <w:r>
        <w:rPr>
          <w:rFonts w:ascii="Times New Roman" w:hAnsi="Times New Roman" w:cs="Times New Roman"/>
          <w:lang w:val="es-MX"/>
        </w:rPr>
        <w:t xml:space="preserve"> (Q</w:t>
      </w:r>
      <w:r w:rsidR="008C52F4">
        <w:rPr>
          <w:rFonts w:ascii="Times New Roman" w:hAnsi="Times New Roman" w:cs="Times New Roman"/>
          <w:lang w:val="es-MX"/>
        </w:rPr>
        <w:t xml:space="preserve"> </w:t>
      </w:r>
      <w:r>
        <w:rPr>
          <w:rFonts w:ascii="Times New Roman" w:hAnsi="Times New Roman" w:cs="Times New Roman"/>
          <w:lang w:val="es-MX"/>
        </w:rPr>
        <w:t>797 millones) respecto a la meta de presupuesto.  Es preciso indicar que el IVA asociado a las importaciones es el que mayor brecha negativa genera respecto a la meta de presupuesto (Q</w:t>
      </w:r>
      <w:r w:rsidR="008C52F4">
        <w:rPr>
          <w:rFonts w:ascii="Times New Roman" w:hAnsi="Times New Roman" w:cs="Times New Roman"/>
          <w:lang w:val="es-MX"/>
        </w:rPr>
        <w:t xml:space="preserve"> </w:t>
      </w:r>
      <w:r>
        <w:rPr>
          <w:rFonts w:ascii="Times New Roman" w:hAnsi="Times New Roman" w:cs="Times New Roman"/>
          <w:lang w:val="es-MX"/>
        </w:rPr>
        <w:t>582.4 millones), esta caída en la recaudación de IVA importaciones obedece en parte, a factores externos como las variaciones del precio internacional del petróleo y en lo interno probablemente a problemas de orden administrativo y control en adunas.  Como puede apreciarse, a nivel interno siguen siendo retos importantes para esta nueva administración para lograr fortalecer el control en las aduanas del país y por ende la recaudación tributaria.</w:t>
      </w:r>
    </w:p>
    <w:p w:rsidR="008C52F4" w:rsidRDefault="008C52F4"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Del IVA asociado al consumo interno es preciso indicar que refleja un crecimiento de 8.7% (Q</w:t>
      </w:r>
      <w:r w:rsidR="008C52F4">
        <w:rPr>
          <w:rFonts w:ascii="Times New Roman" w:hAnsi="Times New Roman" w:cs="Times New Roman"/>
          <w:lang w:val="es-MX"/>
        </w:rPr>
        <w:t xml:space="preserve"> </w:t>
      </w:r>
      <w:r>
        <w:rPr>
          <w:rFonts w:ascii="Times New Roman" w:hAnsi="Times New Roman" w:cs="Times New Roman"/>
          <w:lang w:val="es-MX"/>
        </w:rPr>
        <w:t>472.2 millones) respecto al año anterior y una caída de 3.5% respecto a las metas de presupuesto.  Factores que pueden estar determinando este comportamiento obedecen a la ralentización en la economía nacional, la cual medida a través del IMAE se sitúa en 2.68% en mayo, monto inferior respecto al 4.24% observado el año anterior.  De igual forma, se observa una ligera caída en el flujo de las remas familiares, las cuales a junio se sitúan en 18.9%, mientras que a febrero 23.9%.</w:t>
      </w:r>
    </w:p>
    <w:p w:rsidR="00147E7A" w:rsidRDefault="00147E7A" w:rsidP="00147E7A">
      <w:pPr>
        <w:jc w:val="both"/>
        <w:rPr>
          <w:rFonts w:ascii="Times New Roman" w:hAnsi="Times New Roman" w:cs="Times New Roman"/>
          <w:lang w:val="es-MX"/>
        </w:rPr>
      </w:pPr>
    </w:p>
    <w:p w:rsidR="008C52F4" w:rsidRDefault="008C52F4" w:rsidP="00147E7A">
      <w:pPr>
        <w:jc w:val="both"/>
        <w:rPr>
          <w:rFonts w:ascii="Times New Roman" w:hAnsi="Times New Roman" w:cs="Times New Roman"/>
          <w:lang w:val="es-MX"/>
        </w:rPr>
      </w:pPr>
    </w:p>
    <w:p w:rsidR="008C52F4" w:rsidRDefault="008C52F4" w:rsidP="00147E7A">
      <w:pPr>
        <w:jc w:val="both"/>
        <w:rPr>
          <w:rFonts w:ascii="Times New Roman" w:hAnsi="Times New Roman" w:cs="Times New Roman"/>
          <w:lang w:val="es-MX"/>
        </w:rPr>
      </w:pPr>
    </w:p>
    <w:p w:rsidR="008C52F4" w:rsidRDefault="008C52F4" w:rsidP="00147E7A">
      <w:pPr>
        <w:jc w:val="both"/>
        <w:rPr>
          <w:rFonts w:ascii="Times New Roman" w:hAnsi="Times New Roman" w:cs="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147E7A" w:rsidRPr="00665155" w:rsidTr="007B2090">
        <w:tc>
          <w:tcPr>
            <w:tcW w:w="4527" w:type="dxa"/>
          </w:tcPr>
          <w:p w:rsidR="00147E7A" w:rsidRDefault="00147E7A" w:rsidP="007B2090">
            <w:pPr>
              <w:jc w:val="center"/>
              <w:rPr>
                <w:rFonts w:ascii="Times New Roman" w:hAnsi="Times New Roman" w:cs="Times New Roman"/>
                <w:b/>
                <w:lang w:val="es-MX"/>
              </w:rPr>
            </w:pPr>
            <w:r w:rsidRPr="00665155">
              <w:rPr>
                <w:rFonts w:ascii="Times New Roman" w:hAnsi="Times New Roman" w:cs="Times New Roman"/>
                <w:b/>
                <w:lang w:val="es-MX"/>
              </w:rPr>
              <w:lastRenderedPageBreak/>
              <w:t xml:space="preserve">Productividad del IVA total </w:t>
            </w:r>
          </w:p>
          <w:p w:rsidR="00147E7A" w:rsidRPr="00665155" w:rsidRDefault="00147E7A" w:rsidP="007B2090">
            <w:pPr>
              <w:jc w:val="center"/>
              <w:rPr>
                <w:rFonts w:ascii="Times New Roman" w:hAnsi="Times New Roman" w:cs="Times New Roman"/>
                <w:b/>
                <w:lang w:val="es-MX"/>
              </w:rPr>
            </w:pPr>
            <w:r w:rsidRPr="00665155">
              <w:rPr>
                <w:rFonts w:ascii="Times New Roman" w:hAnsi="Times New Roman" w:cs="Times New Roman"/>
                <w:b/>
                <w:lang w:val="es-MX"/>
              </w:rPr>
              <w:t>a junio de cada año</w:t>
            </w:r>
          </w:p>
          <w:p w:rsidR="00147E7A" w:rsidRPr="008C52F4" w:rsidRDefault="00147E7A" w:rsidP="007B2090">
            <w:pPr>
              <w:jc w:val="center"/>
              <w:rPr>
                <w:rFonts w:ascii="Times New Roman" w:hAnsi="Times New Roman" w:cs="Times New Roman"/>
                <w:lang w:val="es-MX"/>
              </w:rPr>
            </w:pPr>
            <w:r w:rsidRPr="008C52F4">
              <w:rPr>
                <w:rFonts w:ascii="Times New Roman" w:hAnsi="Times New Roman" w:cs="Times New Roman"/>
                <w:lang w:val="es-MX"/>
              </w:rPr>
              <w:t>Porcentajes</w:t>
            </w:r>
          </w:p>
        </w:tc>
        <w:tc>
          <w:tcPr>
            <w:tcW w:w="4527" w:type="dxa"/>
          </w:tcPr>
          <w:p w:rsidR="00147E7A" w:rsidRPr="00665155" w:rsidRDefault="00147E7A" w:rsidP="007B2090">
            <w:pPr>
              <w:jc w:val="center"/>
              <w:rPr>
                <w:rFonts w:ascii="Times New Roman" w:hAnsi="Times New Roman" w:cs="Times New Roman"/>
                <w:b/>
                <w:lang w:val="es-MX"/>
              </w:rPr>
            </w:pPr>
            <w:r w:rsidRPr="00665155">
              <w:rPr>
                <w:rFonts w:ascii="Times New Roman" w:hAnsi="Times New Roman" w:cs="Times New Roman"/>
                <w:b/>
                <w:lang w:val="es-MX"/>
              </w:rPr>
              <w:t>Productividad del IVA importaciones e IVA doméstico a junio de cada año</w:t>
            </w:r>
          </w:p>
          <w:p w:rsidR="00147E7A" w:rsidRPr="008C52F4" w:rsidRDefault="00147E7A" w:rsidP="007B2090">
            <w:pPr>
              <w:jc w:val="center"/>
              <w:rPr>
                <w:rFonts w:ascii="Times New Roman" w:hAnsi="Times New Roman" w:cs="Times New Roman"/>
                <w:lang w:val="es-MX"/>
              </w:rPr>
            </w:pPr>
            <w:r w:rsidRPr="008C52F4">
              <w:rPr>
                <w:rFonts w:ascii="Times New Roman" w:hAnsi="Times New Roman" w:cs="Times New Roman"/>
                <w:lang w:val="es-MX"/>
              </w:rPr>
              <w:t>Porcentajes</w:t>
            </w:r>
          </w:p>
        </w:tc>
      </w:tr>
      <w:tr w:rsidR="00147E7A" w:rsidTr="007B2090">
        <w:tc>
          <w:tcPr>
            <w:tcW w:w="4527" w:type="dxa"/>
          </w:tcPr>
          <w:p w:rsidR="00147E7A" w:rsidRDefault="00147E7A" w:rsidP="007B2090">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5793BBF0" wp14:editId="599DD994">
                  <wp:extent cx="2809875" cy="1885950"/>
                  <wp:effectExtent l="0" t="0" r="0" b="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527" w:type="dxa"/>
          </w:tcPr>
          <w:p w:rsidR="00147E7A" w:rsidRDefault="00147E7A" w:rsidP="007B2090">
            <w:pPr>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17B0DD95" wp14:editId="7731564C">
                  <wp:extent cx="2809875" cy="1781175"/>
                  <wp:effectExtent l="0" t="0" r="0" b="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147E7A" w:rsidRPr="00BF69D3" w:rsidRDefault="00147E7A" w:rsidP="00147E7A">
      <w:pPr>
        <w:jc w:val="both"/>
        <w:rPr>
          <w:rFonts w:ascii="Times New Roman" w:hAnsi="Times New Roman" w:cs="Times New Roman"/>
          <w:sz w:val="16"/>
          <w:lang w:val="es-MX"/>
        </w:rPr>
      </w:pPr>
      <w:r w:rsidRPr="00BF69D3">
        <w:rPr>
          <w:rFonts w:ascii="Times New Roman" w:hAnsi="Times New Roman" w:cs="Times New Roman"/>
          <w:sz w:val="16"/>
          <w:lang w:val="es-MX"/>
        </w:rPr>
        <w:t>Fuente: Dirección de Análisis y Política Fiscal</w:t>
      </w:r>
    </w:p>
    <w:p w:rsidR="00147E7A" w:rsidRDefault="00147E7A" w:rsidP="00147E7A">
      <w:pPr>
        <w:jc w:val="both"/>
        <w:rPr>
          <w:rFonts w:ascii="Times New Roman" w:hAnsi="Times New Roman" w:cs="Times New Roman"/>
          <w:b/>
          <w:lang w:val="es-MX"/>
        </w:rPr>
      </w:pPr>
    </w:p>
    <w:p w:rsidR="00147E7A" w:rsidRPr="00147E7A" w:rsidRDefault="00147E7A" w:rsidP="008C52F4">
      <w:pPr>
        <w:pStyle w:val="Prrafodelista"/>
        <w:numPr>
          <w:ilvl w:val="2"/>
          <w:numId w:val="25"/>
        </w:numPr>
        <w:jc w:val="both"/>
        <w:outlineLvl w:val="2"/>
        <w:rPr>
          <w:rFonts w:ascii="Times New Roman" w:hAnsi="Times New Roman" w:cs="Times New Roman"/>
          <w:b/>
          <w:lang w:val="es-MX"/>
        </w:rPr>
      </w:pPr>
      <w:bookmarkStart w:id="16" w:name="_Toc457550832"/>
      <w:r w:rsidRPr="00147E7A">
        <w:rPr>
          <w:rFonts w:ascii="Times New Roman" w:hAnsi="Times New Roman" w:cs="Times New Roman"/>
          <w:b/>
          <w:lang w:val="es-MX"/>
        </w:rPr>
        <w:t>Otros impuestos</w:t>
      </w:r>
      <w:bookmarkEnd w:id="16"/>
    </w:p>
    <w:p w:rsidR="00147E7A" w:rsidRPr="00147E7A" w:rsidRDefault="00147E7A" w:rsidP="00147E7A">
      <w:pPr>
        <w:pStyle w:val="Prrafodelista"/>
        <w:jc w:val="both"/>
        <w:rPr>
          <w:rFonts w:ascii="Times New Roman" w:hAnsi="Times New Roman" w:cs="Times New Roman"/>
          <w:b/>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Del resto de impuestos al mes de junio se puede destacar el desempeño positivo en los derechos arancelarios a la importación que presentan crecimiento del 12.4%, el impuesto a los derivados del petróleo que crece 11.8% esto en gran medida por el bajo precio en los combustibles nacionales y al aumento en el consumo de estos, el impuesto a la circulación de vehículos e IPRIMA que crecen el 13.4% y 12.5%, el impuesto a las bebidas y el cemento de igual manera crecen respecto a la meta de presupuesto.</w:t>
      </w:r>
    </w:p>
    <w:p w:rsidR="00147E7A" w:rsidRDefault="00147E7A" w:rsidP="00147E7A">
      <w:pPr>
        <w:jc w:val="both"/>
        <w:rPr>
          <w:rFonts w:ascii="Times New Roman" w:hAnsi="Times New Roman" w:cs="Times New Roman"/>
          <w:lang w:val="es-MX"/>
        </w:rPr>
      </w:pPr>
    </w:p>
    <w:p w:rsidR="00147E7A" w:rsidRDefault="00147E7A" w:rsidP="00147E7A">
      <w:pPr>
        <w:jc w:val="both"/>
        <w:rPr>
          <w:rFonts w:ascii="Times New Roman" w:hAnsi="Times New Roman" w:cs="Times New Roman"/>
          <w:lang w:val="es-MX"/>
        </w:rPr>
      </w:pPr>
      <w:r>
        <w:rPr>
          <w:rFonts w:ascii="Times New Roman" w:hAnsi="Times New Roman" w:cs="Times New Roman"/>
          <w:lang w:val="es-MX"/>
        </w:rPr>
        <w:t xml:space="preserve">Los impuestos que tienen rendimientos negativos respecto a la meta de presupuesto son el ISO que cae 0.7%, el impuesto a los timbres, el de tabacos y los no administrados por la SAT, de este rubro, las regalías e hidrocarburos compartibles caen incluso respecto a lo observado en 2015, aunque parte está influenciada principalmente por el deterioro en el precio internacional del petróleo que afecta los precios nacionales en la explotación.  Para el caso de las salidas del país, es probable que al no ser la SAT la encargada de mantener un adecuado control sobre el mismo, </w:t>
      </w:r>
      <w:r w:rsidR="00967A6F">
        <w:rPr>
          <w:rFonts w:ascii="Times New Roman" w:hAnsi="Times New Roman" w:cs="Times New Roman"/>
          <w:lang w:val="es-MX"/>
        </w:rPr>
        <w:t>haya</w:t>
      </w:r>
      <w:r>
        <w:rPr>
          <w:rFonts w:ascii="Times New Roman" w:hAnsi="Times New Roman" w:cs="Times New Roman"/>
          <w:lang w:val="es-MX"/>
        </w:rPr>
        <w:t xml:space="preserve"> mermas asociadas a procedimientos administrativos de registro y fiscalización</w:t>
      </w:r>
    </w:p>
    <w:p w:rsidR="008C52F4" w:rsidRPr="00C74697" w:rsidRDefault="008C52F4" w:rsidP="004059FA">
      <w:pPr>
        <w:jc w:val="right"/>
        <w:rPr>
          <w:rFonts w:ascii="Times New Roman" w:hAnsi="Times New Roman" w:cs="Times New Roman"/>
          <w:color w:val="1F497D" w:themeColor="text2"/>
        </w:rPr>
      </w:pPr>
    </w:p>
    <w:p w:rsidR="004059FA" w:rsidRPr="006A2E1A" w:rsidRDefault="004059FA" w:rsidP="006A2E1A">
      <w:pPr>
        <w:pStyle w:val="Prrafodelista"/>
        <w:numPr>
          <w:ilvl w:val="0"/>
          <w:numId w:val="25"/>
        </w:numPr>
        <w:pBdr>
          <w:top w:val="single" w:sz="4" w:space="1" w:color="auto"/>
          <w:bottom w:val="single" w:sz="4" w:space="1" w:color="auto"/>
        </w:pBdr>
        <w:shd w:val="clear" w:color="auto" w:fill="2F8C99"/>
        <w:ind w:left="709" w:hanging="709"/>
        <w:jc w:val="both"/>
        <w:outlineLvl w:val="0"/>
        <w:rPr>
          <w:rFonts w:ascii="Times New Roman" w:hAnsi="Times New Roman" w:cs="Times New Roman"/>
          <w:b/>
          <w:color w:val="FFFFFF" w:themeColor="background1"/>
          <w:sz w:val="32"/>
          <w:lang w:val="es-MX"/>
        </w:rPr>
      </w:pPr>
      <w:bookmarkStart w:id="17" w:name="_Toc457550833"/>
      <w:r w:rsidRPr="006A2E1A">
        <w:rPr>
          <w:rFonts w:ascii="Times New Roman" w:hAnsi="Times New Roman" w:cs="Times New Roman"/>
          <w:b/>
          <w:color w:val="FFFFFF" w:themeColor="background1"/>
          <w:sz w:val="32"/>
          <w:lang w:val="es-MX"/>
        </w:rPr>
        <w:t>Gasto Público</w:t>
      </w:r>
      <w:bookmarkEnd w:id="17"/>
      <w:r w:rsidRPr="006A2E1A">
        <w:rPr>
          <w:rFonts w:ascii="Times New Roman" w:hAnsi="Times New Roman" w:cs="Times New Roman"/>
          <w:b/>
          <w:color w:val="FFFFFF" w:themeColor="background1"/>
          <w:sz w:val="32"/>
          <w:lang w:val="es-MX"/>
        </w:rPr>
        <w:t xml:space="preserve"> </w:t>
      </w:r>
    </w:p>
    <w:p w:rsidR="004059FA" w:rsidRDefault="004059FA" w:rsidP="004059FA">
      <w:pPr>
        <w:pStyle w:val="Ttulo1"/>
        <w:spacing w:before="0" w:line="240" w:lineRule="auto"/>
        <w:rPr>
          <w:rFonts w:ascii="Times New Roman" w:hAnsi="Times New Roman" w:cs="Times New Roman"/>
          <w:color w:val="auto"/>
        </w:rPr>
      </w:pPr>
    </w:p>
    <w:p w:rsidR="004059FA" w:rsidRPr="00147E7A" w:rsidRDefault="00147E7A" w:rsidP="008C52F4">
      <w:pPr>
        <w:pStyle w:val="Sinespaciado"/>
        <w:jc w:val="both"/>
        <w:outlineLvl w:val="1"/>
        <w:rPr>
          <w:rFonts w:ascii="Times New Roman" w:hAnsi="Times New Roman" w:cs="Times New Roman"/>
          <w:b/>
          <w:sz w:val="24"/>
          <w:lang w:val="es-MX"/>
        </w:rPr>
      </w:pPr>
      <w:bookmarkStart w:id="18" w:name="_Toc457550834"/>
      <w:r>
        <w:rPr>
          <w:rFonts w:ascii="Times New Roman" w:hAnsi="Times New Roman" w:cs="Times New Roman"/>
          <w:b/>
          <w:sz w:val="24"/>
          <w:lang w:val="es-MX"/>
        </w:rPr>
        <w:t xml:space="preserve">3.1  </w:t>
      </w:r>
      <w:r w:rsidR="004059FA" w:rsidRPr="00147E7A">
        <w:rPr>
          <w:rFonts w:ascii="Times New Roman" w:hAnsi="Times New Roman" w:cs="Times New Roman"/>
          <w:b/>
          <w:sz w:val="24"/>
          <w:lang w:val="es-MX"/>
        </w:rPr>
        <w:t>Prudencia en el manejo de la gestión financiera</w:t>
      </w:r>
      <w:bookmarkEnd w:id="18"/>
    </w:p>
    <w:p w:rsidR="004059FA" w:rsidRPr="00147E7A" w:rsidRDefault="004059FA" w:rsidP="004059FA">
      <w:pPr>
        <w:pStyle w:val="Sinespaciado"/>
        <w:jc w:val="both"/>
        <w:rPr>
          <w:rFonts w:ascii="Times New Roman" w:hAnsi="Times New Roman" w:cs="Times New Roman"/>
          <w:sz w:val="24"/>
          <w:lang w:val="es-MX"/>
        </w:rPr>
      </w:pPr>
    </w:p>
    <w:p w:rsidR="004059FA" w:rsidRPr="00147E7A" w:rsidRDefault="004059FA" w:rsidP="004059FA">
      <w:pPr>
        <w:pStyle w:val="Sinespaciado"/>
        <w:jc w:val="both"/>
        <w:rPr>
          <w:rFonts w:ascii="Times New Roman" w:hAnsi="Times New Roman" w:cs="Times New Roman"/>
          <w:sz w:val="24"/>
          <w:lang w:val="es-MX"/>
        </w:rPr>
      </w:pPr>
      <w:r w:rsidRPr="00147E7A">
        <w:rPr>
          <w:rFonts w:ascii="Times New Roman" w:hAnsi="Times New Roman" w:cs="Times New Roman"/>
          <w:sz w:val="24"/>
          <w:lang w:val="es-MX"/>
        </w:rPr>
        <w:t xml:space="preserve">La gestión financiera durante el primer semestre de 2016, ha estado influenciada principalmente por las expectativas en cuanto al nivel de recaudación tributaria ya que desde el inicio de año se previó que el nivel estimado de ingresos contenidos en el presupuesto, difícilmente se alcanzaría, sobre todo al considerar los problemas de corrupción que la Administración Tributaria enfrentaba desde el año anterior, y que los </w:t>
      </w:r>
      <w:r w:rsidRPr="00147E7A">
        <w:rPr>
          <w:rFonts w:ascii="Times New Roman" w:hAnsi="Times New Roman" w:cs="Times New Roman"/>
          <w:sz w:val="24"/>
          <w:lang w:val="es-MX"/>
        </w:rPr>
        <w:lastRenderedPageBreak/>
        <w:t xml:space="preserve">cambios que se estaban gestando a lo interno de esta institución, muy probablemente no rendirían los resultados esperados en materia de recaudación, por lo que se consideró que habría un brecha entre lo recaudado y lo programado en el presupuesto.   </w:t>
      </w:r>
    </w:p>
    <w:p w:rsidR="004059FA" w:rsidRPr="00147E7A" w:rsidRDefault="004059FA" w:rsidP="004059FA">
      <w:pPr>
        <w:pStyle w:val="Sinespaciado"/>
        <w:jc w:val="both"/>
        <w:rPr>
          <w:rFonts w:ascii="Times New Roman" w:hAnsi="Times New Roman" w:cs="Times New Roman"/>
          <w:sz w:val="24"/>
          <w:lang w:val="es-MX"/>
        </w:rPr>
      </w:pPr>
    </w:p>
    <w:p w:rsidR="004059FA" w:rsidRPr="00147E7A" w:rsidRDefault="004059FA" w:rsidP="004059FA">
      <w:pPr>
        <w:pStyle w:val="Sinespaciado"/>
        <w:jc w:val="both"/>
        <w:rPr>
          <w:rFonts w:ascii="Times New Roman" w:hAnsi="Times New Roman" w:cs="Times New Roman"/>
          <w:sz w:val="24"/>
          <w:lang w:val="es-MX"/>
        </w:rPr>
      </w:pPr>
      <w:r w:rsidRPr="00147E7A">
        <w:rPr>
          <w:rFonts w:ascii="Times New Roman" w:hAnsi="Times New Roman" w:cs="Times New Roman"/>
          <w:sz w:val="24"/>
          <w:lang w:val="es-MX"/>
        </w:rPr>
        <w:t>Asimismo, la anterior administración dejó un monto importante de compromisos pendientes de pago (gastos devengados no pagados) de ejercicios fiscales anteriores, lo cual afecta la disponibilidad real del Estado para atender los requerimientos establecidos en el presupuesto de este año ya que la mayor parte de estos compromisos de pago se han liquidado en el primer semestre del año. Además, en los primeros meses del año se tenía la incertidumbre si el Congreso de la República iba a flexibilizar la colocación de Bonos del Tesoro, en donde permitía originalmente colocar únicamente el 50% de la emisión en el primer semestre del año y el segundo tramo lo podía colocar previa autorización del Congreso o sería sustituido con préstamos de apoyo presupuestario, situación que modificó mediante un Decreto que liberalizaba la colocación de títulos de acuerdo al monto autorizado en el presupuesto.</w:t>
      </w:r>
    </w:p>
    <w:p w:rsidR="004059FA" w:rsidRPr="00147E7A" w:rsidRDefault="004059FA" w:rsidP="004059FA">
      <w:pPr>
        <w:pStyle w:val="Sinespaciado"/>
        <w:jc w:val="both"/>
        <w:rPr>
          <w:rFonts w:ascii="Times New Roman" w:hAnsi="Times New Roman" w:cs="Times New Roman"/>
          <w:sz w:val="24"/>
          <w:lang w:val="es-MX"/>
        </w:rPr>
      </w:pPr>
    </w:p>
    <w:p w:rsidR="004059FA" w:rsidRPr="00147E7A" w:rsidRDefault="004059FA" w:rsidP="004059FA">
      <w:pPr>
        <w:pStyle w:val="Sinespaciado"/>
        <w:jc w:val="both"/>
        <w:rPr>
          <w:rFonts w:ascii="Times New Roman" w:hAnsi="Times New Roman" w:cs="Times New Roman"/>
          <w:sz w:val="24"/>
          <w:lang w:val="es-MX"/>
        </w:rPr>
      </w:pPr>
      <w:r w:rsidRPr="00147E7A">
        <w:rPr>
          <w:rFonts w:ascii="Times New Roman" w:hAnsi="Times New Roman" w:cs="Times New Roman"/>
          <w:sz w:val="24"/>
          <w:lang w:val="es-MX"/>
        </w:rPr>
        <w:t>Por lo anterior, fue determinante, por parte del ejecutivo, definir una postura en cuanto a la política de contención de gasto público, que se hizo materializó mediante un oficio circular a todas las entidades de gobierno que contenía una normativa que permitiera cumplir únicamente con los gastos ineludibles privilegiando los gastos en salud, educación, seguridad y justicia, tomando en consideración, para el efecto, los recursos líquidos disponibles y las necesidades más apremiantes de las instituciones.</w:t>
      </w:r>
    </w:p>
    <w:p w:rsidR="004059FA" w:rsidRPr="00147E7A" w:rsidRDefault="004059FA" w:rsidP="004059FA">
      <w:pPr>
        <w:pStyle w:val="Sinespaciado"/>
        <w:jc w:val="both"/>
        <w:rPr>
          <w:rFonts w:ascii="Times New Roman" w:hAnsi="Times New Roman" w:cs="Times New Roman"/>
          <w:sz w:val="24"/>
          <w:lang w:val="es-MX"/>
        </w:rPr>
      </w:pPr>
      <w:r w:rsidRPr="00147E7A">
        <w:rPr>
          <w:rFonts w:ascii="Times New Roman" w:hAnsi="Times New Roman" w:cs="Times New Roman"/>
          <w:sz w:val="24"/>
          <w:lang w:val="es-MX"/>
        </w:rPr>
        <w:t xml:space="preserve"> </w:t>
      </w:r>
    </w:p>
    <w:p w:rsidR="004059FA" w:rsidRPr="00147E7A" w:rsidRDefault="004059FA" w:rsidP="004059FA">
      <w:pPr>
        <w:pStyle w:val="Sinespaciado"/>
        <w:jc w:val="both"/>
        <w:rPr>
          <w:rFonts w:ascii="Times New Roman" w:hAnsi="Times New Roman" w:cs="Times New Roman"/>
          <w:sz w:val="24"/>
          <w:lang w:val="es-MX"/>
        </w:rPr>
      </w:pPr>
      <w:r w:rsidRPr="00147E7A">
        <w:rPr>
          <w:rFonts w:ascii="Times New Roman" w:hAnsi="Times New Roman" w:cs="Times New Roman"/>
          <w:sz w:val="24"/>
          <w:lang w:val="es-MX"/>
        </w:rPr>
        <w:t xml:space="preserve">Asimismo, esta política se evidenció en la programación mensual de la cuota financiera del primer cuatrimestre del año, que limitó la ejecución de gasto en muchas entidades  para evitar desequilibrios importantes en la caja fiscal que pusieran en peligro la capacidad de atender los compromisos del Estado en el corto plazo.   </w:t>
      </w:r>
    </w:p>
    <w:p w:rsidR="004059FA" w:rsidRPr="00147E7A" w:rsidRDefault="004059FA" w:rsidP="004059FA">
      <w:pPr>
        <w:pStyle w:val="Sinespaciado"/>
        <w:jc w:val="both"/>
        <w:rPr>
          <w:rFonts w:ascii="Times New Roman" w:hAnsi="Times New Roman" w:cs="Times New Roman"/>
          <w:sz w:val="24"/>
          <w:lang w:val="es-MX"/>
        </w:rPr>
      </w:pPr>
    </w:p>
    <w:p w:rsidR="004059FA" w:rsidRPr="00147E7A" w:rsidRDefault="004059FA" w:rsidP="004059FA">
      <w:pPr>
        <w:pStyle w:val="Sinespaciado"/>
        <w:jc w:val="both"/>
        <w:rPr>
          <w:rFonts w:ascii="Times New Roman" w:hAnsi="Times New Roman" w:cs="Times New Roman"/>
          <w:sz w:val="24"/>
          <w:lang w:val="es-MX"/>
        </w:rPr>
      </w:pPr>
      <w:r w:rsidRPr="00147E7A">
        <w:rPr>
          <w:rFonts w:ascii="Times New Roman" w:hAnsi="Times New Roman" w:cs="Times New Roman"/>
          <w:sz w:val="24"/>
          <w:lang w:val="es-MX"/>
        </w:rPr>
        <w:t>Sin embargo, la dinámica de programación y de ejecución fue variando con el tiempo ya que los niveles de recaudación tributaria mostraron una recuperación, principalmente asociado a la recaudación extraordinaria derivada de algunos incumplimientos de pago por parte de algunas empresas, esto elevó la recaudación con respecto a lo previsto, principalmente en mayo, lo cual condujo a un leve relajamiento en la programación del gasto y en la ejecución, especialmente en los meses mayo - junio y se espera un aumento en el dinamismo en los siguientes meses derivado de la propia estacionalidad del gasto y de una mejora adicional en los ingresos fiscales.</w:t>
      </w:r>
    </w:p>
    <w:p w:rsidR="004059FA" w:rsidRPr="00147E7A" w:rsidRDefault="004059FA" w:rsidP="004059FA">
      <w:pPr>
        <w:pStyle w:val="Sinespaciado"/>
        <w:jc w:val="both"/>
        <w:rPr>
          <w:rFonts w:ascii="Times New Roman" w:hAnsi="Times New Roman" w:cs="Times New Roman"/>
          <w:sz w:val="24"/>
          <w:lang w:val="es-MX"/>
        </w:rPr>
      </w:pPr>
    </w:p>
    <w:p w:rsidR="004059FA" w:rsidRPr="00147E7A" w:rsidRDefault="004059FA" w:rsidP="004059FA">
      <w:pPr>
        <w:pStyle w:val="Sinespaciado"/>
        <w:jc w:val="both"/>
        <w:rPr>
          <w:rFonts w:ascii="Times New Roman" w:hAnsi="Times New Roman" w:cs="Times New Roman"/>
          <w:sz w:val="24"/>
          <w:lang w:val="es-MX"/>
        </w:rPr>
      </w:pPr>
      <w:r w:rsidRPr="00147E7A">
        <w:rPr>
          <w:rFonts w:ascii="Times New Roman" w:hAnsi="Times New Roman" w:cs="Times New Roman"/>
          <w:sz w:val="24"/>
          <w:lang w:val="es-MX"/>
        </w:rPr>
        <w:t xml:space="preserve">No obstante, que el gasto en los últimos meses ha aumentado, el efecto que tuvo la férrea contención en el primer cuatrimestre, provocó que el gasto tuviera una contracción, es decir, un crecimiento interanual negativo en lo que del año.  En ese sentido, es importante considerar también que el año anterior hubo una serie de gastos extraordinarios que incidieron en su ejecución como el aporte extraordinario al Tribunal Supremo Electoral para la celebración de las Elecciones Generales y el aumento salarial (12%) al magisterio </w:t>
      </w:r>
      <w:r w:rsidRPr="00147E7A">
        <w:rPr>
          <w:rFonts w:ascii="Times New Roman" w:hAnsi="Times New Roman" w:cs="Times New Roman"/>
          <w:sz w:val="24"/>
          <w:lang w:val="es-MX"/>
        </w:rPr>
        <w:lastRenderedPageBreak/>
        <w:t>nacional, lo que sin duda ejerce una influencia importante en el ritmo de ejecución de este año ya que este tipo de gastos no se realizarán en este ejercicio fiscal.</w:t>
      </w:r>
    </w:p>
    <w:p w:rsidR="004059FA" w:rsidRPr="00147E7A" w:rsidRDefault="004059FA" w:rsidP="004059FA">
      <w:pPr>
        <w:pStyle w:val="Sinespaciado"/>
        <w:jc w:val="both"/>
        <w:rPr>
          <w:rFonts w:ascii="Times New Roman" w:hAnsi="Times New Roman" w:cs="Times New Roman"/>
          <w:sz w:val="24"/>
          <w:lang w:val="es-MX"/>
        </w:rPr>
      </w:pPr>
    </w:p>
    <w:p w:rsidR="004059FA" w:rsidRPr="00147E7A" w:rsidRDefault="00147E7A" w:rsidP="008C52F4">
      <w:pPr>
        <w:pStyle w:val="Sinespaciado"/>
        <w:jc w:val="both"/>
        <w:outlineLvl w:val="1"/>
        <w:rPr>
          <w:rFonts w:ascii="Times New Roman" w:hAnsi="Times New Roman" w:cs="Times New Roman"/>
          <w:b/>
          <w:sz w:val="24"/>
          <w:lang w:val="es-MX"/>
        </w:rPr>
      </w:pPr>
      <w:bookmarkStart w:id="19" w:name="_Toc457550835"/>
      <w:r>
        <w:rPr>
          <w:rFonts w:ascii="Times New Roman" w:hAnsi="Times New Roman" w:cs="Times New Roman"/>
          <w:b/>
          <w:sz w:val="24"/>
          <w:lang w:val="es-MX"/>
        </w:rPr>
        <w:t xml:space="preserve">3.2  </w:t>
      </w:r>
      <w:r w:rsidR="004059FA" w:rsidRPr="00147E7A">
        <w:rPr>
          <w:rFonts w:ascii="Times New Roman" w:hAnsi="Times New Roman" w:cs="Times New Roman"/>
          <w:b/>
          <w:sz w:val="24"/>
          <w:lang w:val="es-MX"/>
        </w:rPr>
        <w:t>Contracción en la ejecución de gasto</w:t>
      </w:r>
      <w:bookmarkEnd w:id="19"/>
    </w:p>
    <w:p w:rsidR="004059FA" w:rsidRPr="00147E7A" w:rsidRDefault="004059FA" w:rsidP="004059FA">
      <w:pPr>
        <w:pStyle w:val="Sinespaciado"/>
        <w:jc w:val="both"/>
        <w:rPr>
          <w:rFonts w:ascii="Times New Roman" w:hAnsi="Times New Roman" w:cs="Times New Roman"/>
          <w:sz w:val="24"/>
          <w:lang w:val="es-MX"/>
        </w:rPr>
      </w:pPr>
    </w:p>
    <w:p w:rsidR="004059FA" w:rsidRPr="00147E7A" w:rsidRDefault="004059FA" w:rsidP="004059FA">
      <w:pPr>
        <w:pStyle w:val="Sinespaciado"/>
        <w:jc w:val="both"/>
        <w:rPr>
          <w:rFonts w:ascii="Times New Roman" w:hAnsi="Times New Roman" w:cs="Times New Roman"/>
          <w:sz w:val="24"/>
          <w:lang w:val="es-MX"/>
        </w:rPr>
      </w:pPr>
      <w:r w:rsidRPr="00147E7A">
        <w:rPr>
          <w:rFonts w:ascii="Times New Roman" w:hAnsi="Times New Roman" w:cs="Times New Roman"/>
          <w:sz w:val="24"/>
          <w:lang w:val="es-MX"/>
        </w:rPr>
        <w:t>Al  30 de  junio de 2016 se alcanzó un nivel de ejecución de Q</w:t>
      </w:r>
      <w:r w:rsidR="008C52F4">
        <w:rPr>
          <w:rFonts w:ascii="Times New Roman" w:hAnsi="Times New Roman" w:cs="Times New Roman"/>
          <w:sz w:val="24"/>
          <w:lang w:val="es-MX"/>
        </w:rPr>
        <w:t xml:space="preserve"> </w:t>
      </w:r>
      <w:r w:rsidRPr="00147E7A">
        <w:rPr>
          <w:rFonts w:ascii="Times New Roman" w:hAnsi="Times New Roman" w:cs="Times New Roman"/>
          <w:sz w:val="24"/>
          <w:lang w:val="es-MX"/>
        </w:rPr>
        <w:t xml:space="preserve">27,903.3 millones (no incluye amortizaciones de deuda), con un crecimiento interanual negativo de 6.1%, con respecto a lo observado en la misma fecha de 2015.   A pesar que el gasto muestra un aumento mensual, el ritmo que a la fecha se ha obtenido está por debajo del ritmo mostrado el año anterior que fue de 6.7%.  Es importante indicar que para mediados del año anterior inicio un proceso de desaceleración del gasto que fue motivado por el deterioro de la recaudación tributaria y por el panorama político que se estaba gestando por los problemas de corrupción principalmente en la SAT, lo cual introdujo una incertidumbre que provocó que se adoptara una contención de gasto que cada vez se tornaba más aguda al punto que al final de año se tuvo un crecimiento negativo en su ejecución.   Lo anterior, más los factores citados anteriormente, incidieron también en la ejecución de 2016, que ha empezado a recuperarse pero lentamente, se espera que entre agosto y septiembre se tenga un nivel de gasto similar al obtenido en 2015.    </w:t>
      </w:r>
    </w:p>
    <w:p w:rsidR="008C52F4" w:rsidRPr="00147E7A" w:rsidRDefault="008C52F4" w:rsidP="004059FA">
      <w:pPr>
        <w:pStyle w:val="Sinespaciado"/>
        <w:jc w:val="both"/>
        <w:rPr>
          <w:rFonts w:ascii="Times New Roman" w:hAnsi="Times New Roman" w:cs="Times New Roman"/>
          <w:sz w:val="24"/>
          <w:lang w:val="es-MX"/>
        </w:rPr>
      </w:pPr>
    </w:p>
    <w:p w:rsidR="004059FA" w:rsidRPr="008C52F4" w:rsidRDefault="004059FA" w:rsidP="004059FA">
      <w:pPr>
        <w:pStyle w:val="Sinespaciado"/>
        <w:jc w:val="center"/>
        <w:rPr>
          <w:rFonts w:ascii="Times New Roman" w:hAnsi="Times New Roman" w:cs="Times New Roman"/>
          <w:b/>
          <w:sz w:val="24"/>
          <w:lang w:val="es-MX"/>
        </w:rPr>
      </w:pPr>
      <w:r w:rsidRPr="008C52F4">
        <w:rPr>
          <w:rFonts w:ascii="Times New Roman" w:hAnsi="Times New Roman" w:cs="Times New Roman"/>
          <w:b/>
          <w:sz w:val="24"/>
          <w:lang w:val="es-MX"/>
        </w:rPr>
        <w:t>Comportamiento en la ejecución del gasto público</w:t>
      </w:r>
    </w:p>
    <w:p w:rsidR="004059FA" w:rsidRDefault="004059FA" w:rsidP="004059FA">
      <w:pPr>
        <w:pStyle w:val="Sinespaciado"/>
        <w:jc w:val="center"/>
        <w:rPr>
          <w:rFonts w:ascii="Times New Roman" w:hAnsi="Times New Roman" w:cs="Times New Roman"/>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489"/>
      </w:tblGrid>
      <w:tr w:rsidR="004059FA" w:rsidTr="004059FA">
        <w:tc>
          <w:tcPr>
            <w:tcW w:w="4547" w:type="dxa"/>
            <w:hideMark/>
          </w:tcPr>
          <w:p w:rsidR="004059FA" w:rsidRDefault="004059FA">
            <w:pPr>
              <w:pStyle w:val="Sinespaciado"/>
              <w:jc w:val="center"/>
              <w:rPr>
                <w:rFonts w:ascii="Times New Roman" w:hAnsi="Times New Roman" w:cs="Times New Roman"/>
                <w:lang w:val="es-MX"/>
              </w:rPr>
            </w:pPr>
            <w:r>
              <w:rPr>
                <w:rFonts w:ascii="Times New Roman" w:hAnsi="Times New Roman" w:cs="Times New Roman"/>
                <w:sz w:val="18"/>
                <w:lang w:val="es-MX"/>
              </w:rPr>
              <w:t>Ejecución del gasto mensual</w:t>
            </w:r>
          </w:p>
        </w:tc>
        <w:tc>
          <w:tcPr>
            <w:tcW w:w="4489" w:type="dxa"/>
            <w:hideMark/>
          </w:tcPr>
          <w:p w:rsidR="004059FA" w:rsidRDefault="004059FA">
            <w:pPr>
              <w:pStyle w:val="Sinespaciado"/>
              <w:jc w:val="center"/>
              <w:rPr>
                <w:rFonts w:ascii="Times New Roman" w:hAnsi="Times New Roman" w:cs="Times New Roman"/>
                <w:lang w:val="es-MX"/>
              </w:rPr>
            </w:pPr>
            <w:r>
              <w:rPr>
                <w:rFonts w:ascii="Times New Roman" w:hAnsi="Times New Roman" w:cs="Times New Roman"/>
                <w:sz w:val="18"/>
                <w:lang w:val="es-MX"/>
              </w:rPr>
              <w:t>Variación interanual</w:t>
            </w:r>
          </w:p>
        </w:tc>
      </w:tr>
      <w:tr w:rsidR="004059FA" w:rsidTr="004059FA">
        <w:trPr>
          <w:trHeight w:val="3432"/>
        </w:trPr>
        <w:tc>
          <w:tcPr>
            <w:tcW w:w="4547" w:type="dxa"/>
            <w:hideMark/>
          </w:tcPr>
          <w:p w:rsidR="004059FA" w:rsidRDefault="004059FA">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3AC89227" wp14:editId="3B9BB544">
                  <wp:extent cx="2752090" cy="212217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090" cy="2122170"/>
                          </a:xfrm>
                          <a:prstGeom prst="rect">
                            <a:avLst/>
                          </a:prstGeom>
                          <a:noFill/>
                          <a:ln>
                            <a:noFill/>
                          </a:ln>
                        </pic:spPr>
                      </pic:pic>
                    </a:graphicData>
                  </a:graphic>
                </wp:inline>
              </w:drawing>
            </w:r>
          </w:p>
        </w:tc>
        <w:tc>
          <w:tcPr>
            <w:tcW w:w="4489" w:type="dxa"/>
            <w:hideMark/>
          </w:tcPr>
          <w:p w:rsidR="004059FA" w:rsidRDefault="004059FA">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5F85B609" wp14:editId="27A56A49">
                  <wp:extent cx="2682875" cy="2122170"/>
                  <wp:effectExtent l="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2875" cy="2122170"/>
                          </a:xfrm>
                          <a:prstGeom prst="rect">
                            <a:avLst/>
                          </a:prstGeom>
                          <a:noFill/>
                          <a:ln>
                            <a:noFill/>
                          </a:ln>
                        </pic:spPr>
                      </pic:pic>
                    </a:graphicData>
                  </a:graphic>
                </wp:inline>
              </w:drawing>
            </w:r>
          </w:p>
        </w:tc>
      </w:tr>
    </w:tbl>
    <w:p w:rsidR="004059FA" w:rsidRDefault="004059FA" w:rsidP="004059FA">
      <w:pPr>
        <w:pStyle w:val="Sinespaciado"/>
        <w:rPr>
          <w:rFonts w:ascii="Times New Roman" w:hAnsi="Times New Roman" w:cs="Times New Roman"/>
          <w:sz w:val="16"/>
        </w:rPr>
      </w:pPr>
      <w:r>
        <w:rPr>
          <w:rFonts w:ascii="Times New Roman" w:hAnsi="Times New Roman" w:cs="Times New Roman"/>
          <w:sz w:val="16"/>
        </w:rPr>
        <w:t>Fuente: Dirección de Análisis y Política fiscal</w:t>
      </w:r>
    </w:p>
    <w:p w:rsidR="004059FA" w:rsidRDefault="004059FA" w:rsidP="004059FA">
      <w:pPr>
        <w:pStyle w:val="Sinespaciado"/>
        <w:jc w:val="both"/>
        <w:rPr>
          <w:rFonts w:ascii="Times New Roman" w:hAnsi="Times New Roman" w:cs="Times New Roman"/>
          <w:color w:val="FF0000"/>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La contención de gasto afectó prácticamente a todas las entidades del Estado y la mayor parte de rubros.  Sin embargo, destaca la reducción en los rubros de inversión real directa y los bienes y servicios cuya contracción de gasto es de dos dígitos (-88.1% y 30.7%  respectivamente).  En el caso de la inversión real directa se da por la baja ejecución del Ministerio de Comunicaciones, Infraestructura y Vivienda, principalmente asociado a los proyectos financiados con préstamos externos, además de algunos problemas vinculados al tema de contratación los cuales retrasan la ejecución.   En el caso de los bienes y servicios, </w:t>
      </w:r>
      <w:r w:rsidRPr="00147E7A">
        <w:rPr>
          <w:rFonts w:ascii="Times New Roman" w:hAnsi="Times New Roman" w:cs="Times New Roman"/>
          <w:color w:val="000000" w:themeColor="text1"/>
          <w:sz w:val="24"/>
          <w:lang w:val="es-MX"/>
        </w:rPr>
        <w:lastRenderedPageBreak/>
        <w:t xml:space="preserve">la mayor parte de las entidades ha reducido su gasto, como parte de las normas de contención. Lo que llama la atención, es que la mayor parte del ajuste se ha dado en ministerios como Salud Pública, Gobernación y Educación, siendo estos ministerios prioritarios por su efecto en el gasto social y la seguridad ciudadana. </w:t>
      </w:r>
    </w:p>
    <w:p w:rsidR="004059FA" w:rsidRDefault="004059FA" w:rsidP="004059FA">
      <w:pPr>
        <w:pStyle w:val="Sinespaciado"/>
        <w:jc w:val="both"/>
        <w:rPr>
          <w:rFonts w:ascii="Times New Roman" w:hAnsi="Times New Roman" w:cs="Times New Roman"/>
          <w:color w:val="000000" w:themeColor="text1"/>
          <w:lang w:val="es-MX"/>
        </w:rPr>
      </w:pPr>
    </w:p>
    <w:p w:rsidR="004059FA" w:rsidRPr="008C52F4" w:rsidRDefault="004059FA" w:rsidP="004059FA">
      <w:pPr>
        <w:pStyle w:val="Sinespaciado"/>
        <w:jc w:val="center"/>
        <w:rPr>
          <w:rFonts w:ascii="Times New Roman" w:hAnsi="Times New Roman" w:cs="Times New Roman"/>
          <w:b/>
          <w:sz w:val="24"/>
          <w:lang w:val="es-MX"/>
        </w:rPr>
      </w:pPr>
      <w:r w:rsidRPr="008C52F4">
        <w:rPr>
          <w:rFonts w:ascii="Times New Roman" w:hAnsi="Times New Roman" w:cs="Times New Roman"/>
          <w:b/>
          <w:sz w:val="24"/>
          <w:lang w:val="es-MX"/>
        </w:rPr>
        <w:t>Ejecución del Gasto por Rubro</w:t>
      </w:r>
    </w:p>
    <w:p w:rsidR="004059FA" w:rsidRPr="008C52F4" w:rsidRDefault="004059FA" w:rsidP="004059FA">
      <w:pPr>
        <w:pStyle w:val="Sinespaciado"/>
        <w:jc w:val="center"/>
        <w:rPr>
          <w:rFonts w:ascii="Times New Roman" w:hAnsi="Times New Roman" w:cs="Times New Roman"/>
          <w:lang w:val="es-MX"/>
        </w:rPr>
      </w:pPr>
      <w:r w:rsidRPr="008C52F4">
        <w:rPr>
          <w:rFonts w:ascii="Times New Roman" w:hAnsi="Times New Roman" w:cs="Times New Roman"/>
          <w:lang w:val="es-MX"/>
        </w:rPr>
        <w:t>Variación Absoluta Interanual 2016-2015</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338"/>
      </w:tblGrid>
      <w:tr w:rsidR="004059FA" w:rsidTr="004059FA">
        <w:tc>
          <w:tcPr>
            <w:tcW w:w="4685" w:type="dxa"/>
            <w:hideMark/>
          </w:tcPr>
          <w:p w:rsidR="004059FA" w:rsidRDefault="004059FA">
            <w:pPr>
              <w:pStyle w:val="Sinespaciado"/>
              <w:jc w:val="center"/>
              <w:rPr>
                <w:rFonts w:ascii="Times New Roman" w:hAnsi="Times New Roman" w:cs="Times New Roman"/>
                <w:color w:val="000000" w:themeColor="text1"/>
                <w:sz w:val="18"/>
                <w:lang w:val="es-MX"/>
              </w:rPr>
            </w:pPr>
            <w:r>
              <w:rPr>
                <w:rFonts w:ascii="Times New Roman" w:hAnsi="Times New Roman" w:cs="Times New Roman"/>
                <w:color w:val="000000" w:themeColor="text1"/>
                <w:sz w:val="18"/>
                <w:lang w:val="es-MX"/>
              </w:rPr>
              <w:t>Por Rubro de Cuenta Económica</w:t>
            </w:r>
          </w:p>
        </w:tc>
        <w:tc>
          <w:tcPr>
            <w:tcW w:w="4369" w:type="dxa"/>
            <w:hideMark/>
          </w:tcPr>
          <w:p w:rsidR="004059FA" w:rsidRDefault="004059FA">
            <w:pPr>
              <w:pStyle w:val="Sinespaciado"/>
              <w:jc w:val="center"/>
              <w:rPr>
                <w:rFonts w:ascii="Times New Roman" w:hAnsi="Times New Roman" w:cs="Times New Roman"/>
                <w:color w:val="000000" w:themeColor="text1"/>
                <w:sz w:val="18"/>
                <w:lang w:val="es-MX"/>
              </w:rPr>
            </w:pPr>
            <w:r>
              <w:rPr>
                <w:rFonts w:ascii="Times New Roman" w:hAnsi="Times New Roman" w:cs="Times New Roman"/>
                <w:color w:val="000000" w:themeColor="text1"/>
                <w:sz w:val="18"/>
                <w:lang w:val="es-MX"/>
              </w:rPr>
              <w:t>Reducción del gasto en Bienes y Servicios por Entidad</w:t>
            </w:r>
          </w:p>
        </w:tc>
      </w:tr>
      <w:tr w:rsidR="004059FA" w:rsidTr="004059FA">
        <w:tc>
          <w:tcPr>
            <w:tcW w:w="4685" w:type="dxa"/>
            <w:hideMark/>
          </w:tcPr>
          <w:p w:rsidR="004059FA" w:rsidRDefault="004059FA">
            <w:pPr>
              <w:pStyle w:val="Sinespaciado"/>
              <w:jc w:val="both"/>
              <w:rPr>
                <w:rFonts w:ascii="Times New Roman" w:hAnsi="Times New Roman" w:cs="Times New Roman"/>
                <w:color w:val="000000" w:themeColor="text1"/>
                <w:lang w:val="es-MX"/>
              </w:rPr>
            </w:pPr>
            <w:r>
              <w:rPr>
                <w:rFonts w:ascii="Times New Roman" w:hAnsi="Times New Roman" w:cs="Times New Roman"/>
                <w:noProof/>
                <w:color w:val="000000" w:themeColor="text1"/>
                <w:lang w:eastAsia="es-GT"/>
              </w:rPr>
              <w:drawing>
                <wp:inline distT="0" distB="0" distL="0" distR="0" wp14:anchorId="0FEB4565" wp14:editId="4FD1E31F">
                  <wp:extent cx="2855595" cy="2113280"/>
                  <wp:effectExtent l="0" t="0" r="1905"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5595" cy="2113280"/>
                          </a:xfrm>
                          <a:prstGeom prst="rect">
                            <a:avLst/>
                          </a:prstGeom>
                          <a:noFill/>
                          <a:ln>
                            <a:noFill/>
                          </a:ln>
                        </pic:spPr>
                      </pic:pic>
                    </a:graphicData>
                  </a:graphic>
                </wp:inline>
              </w:drawing>
            </w:r>
          </w:p>
        </w:tc>
        <w:tc>
          <w:tcPr>
            <w:tcW w:w="4369" w:type="dxa"/>
            <w:hideMark/>
          </w:tcPr>
          <w:p w:rsidR="004059FA" w:rsidRDefault="004059FA">
            <w:pPr>
              <w:pStyle w:val="Sinespaciado"/>
              <w:jc w:val="both"/>
              <w:rPr>
                <w:rFonts w:ascii="Times New Roman" w:hAnsi="Times New Roman" w:cs="Times New Roman"/>
                <w:color w:val="000000" w:themeColor="text1"/>
                <w:lang w:val="es-MX"/>
              </w:rPr>
            </w:pPr>
            <w:r>
              <w:rPr>
                <w:rFonts w:ascii="Times New Roman" w:hAnsi="Times New Roman" w:cs="Times New Roman"/>
                <w:noProof/>
                <w:color w:val="000000" w:themeColor="text1"/>
                <w:lang w:eastAsia="es-GT"/>
              </w:rPr>
              <w:drawing>
                <wp:inline distT="0" distB="0" distL="0" distR="0" wp14:anchorId="4202F547" wp14:editId="0688768B">
                  <wp:extent cx="2536190" cy="213931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6190" cy="2139315"/>
                          </a:xfrm>
                          <a:prstGeom prst="rect">
                            <a:avLst/>
                          </a:prstGeom>
                          <a:noFill/>
                          <a:ln>
                            <a:noFill/>
                          </a:ln>
                        </pic:spPr>
                      </pic:pic>
                    </a:graphicData>
                  </a:graphic>
                </wp:inline>
              </w:drawing>
            </w:r>
          </w:p>
        </w:tc>
      </w:tr>
    </w:tbl>
    <w:p w:rsidR="004059FA" w:rsidRDefault="004059FA" w:rsidP="004059FA">
      <w:pPr>
        <w:pStyle w:val="Sinespaciado"/>
        <w:rPr>
          <w:rFonts w:ascii="Times New Roman" w:hAnsi="Times New Roman" w:cs="Times New Roman"/>
          <w:sz w:val="16"/>
        </w:rPr>
      </w:pPr>
      <w:r>
        <w:rPr>
          <w:rFonts w:ascii="Times New Roman" w:hAnsi="Times New Roman" w:cs="Times New Roman"/>
          <w:sz w:val="16"/>
        </w:rPr>
        <w:t>Fuente: Dirección de Análisis y Política fiscal</w:t>
      </w:r>
    </w:p>
    <w:p w:rsidR="004059FA" w:rsidRDefault="004059FA" w:rsidP="004059FA">
      <w:pPr>
        <w:pStyle w:val="Sinespaciado"/>
        <w:jc w:val="both"/>
        <w:rPr>
          <w:rFonts w:ascii="Times New Roman" w:hAnsi="Times New Roman" w:cs="Times New Roman"/>
          <w:color w:val="000000" w:themeColor="text1"/>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Otro rubro que muestra una importante reducción en la ejecución son las transferencias de capital, las cuales están asociadas al aporte a los Consejos Departamentales de Desarrollo Urbano y Rural, los cuales han tenido problema con la reprogramación de obras y posteriormente con la ejecución de las mismas, mientras no se dinamice la ejecución de obras por parte de los CODEDES, la ejecución en este rubro se mantendrá por debajo de lo observado en 2015.</w:t>
      </w: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  </w:t>
      </w: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Asimismo, los intereses de la deuda pública muestran una leve reducción, con respecto a lo observado a junio de 2015, esta situación se da porque el año anterior, se registraron más </w:t>
      </w:r>
      <w:r w:rsidR="008C52F4">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Q</w:t>
      </w:r>
      <w:r w:rsidR="008C52F4">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270 millones de intereses que correspondían a 2014, debido a que en ese año no se tuvo el espacio  presupuestario para regularizar dicho gasto, fue hasta en 2015 en que este quedó debidamente registrado.</w:t>
      </w:r>
    </w:p>
    <w:p w:rsidR="004059FA" w:rsidRPr="00147E7A" w:rsidRDefault="004059FA" w:rsidP="004059FA">
      <w:pPr>
        <w:pStyle w:val="Sinespaciado"/>
        <w:jc w:val="both"/>
        <w:rPr>
          <w:rFonts w:ascii="Times New Roman" w:hAnsi="Times New Roman" w:cs="Times New Roman"/>
          <w:color w:val="FF0000"/>
          <w:sz w:val="24"/>
          <w:lang w:val="es-MX"/>
        </w:rPr>
      </w:pPr>
      <w:r w:rsidRPr="00147E7A">
        <w:rPr>
          <w:rFonts w:ascii="Times New Roman" w:hAnsi="Times New Roman" w:cs="Times New Roman"/>
          <w:color w:val="FF0000"/>
          <w:sz w:val="24"/>
          <w:lang w:val="es-MX"/>
        </w:rPr>
        <w:t xml:space="preserve"> </w:t>
      </w: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Las transferencias corrientes muestran igualmente una reducción con respecto a lo observado en 2015, principalmente por el aporte extraordinario al Tribunal Supremo Electoral que se otorgó para la realización de las Elecciones Generales en dicho año.   Sin embargo, se espera que este rubro al final de 2016, supere lo ejecutado el año anterior, como resultado del aumento autorizado por el Congreso al aporte del Organismo Judicial, Ministerio Público y Universidad de San Carlos. </w:t>
      </w:r>
    </w:p>
    <w:p w:rsidR="004059FA" w:rsidRPr="00147E7A" w:rsidRDefault="004059FA" w:rsidP="004059FA">
      <w:pPr>
        <w:pStyle w:val="Sinespaciado"/>
        <w:jc w:val="both"/>
        <w:rPr>
          <w:rFonts w:ascii="Times New Roman" w:hAnsi="Times New Roman" w:cs="Times New Roman"/>
          <w:color w:val="000000" w:themeColor="text1"/>
          <w:sz w:val="24"/>
          <w:lang w:val="es-MX"/>
        </w:rPr>
      </w:pPr>
    </w:p>
    <w:p w:rsidR="004059FA" w:rsidRPr="00147E7A" w:rsidRDefault="004059FA" w:rsidP="004059FA">
      <w:pPr>
        <w:pStyle w:val="Sinespaciado"/>
        <w:jc w:val="both"/>
        <w:rPr>
          <w:rFonts w:ascii="Times New Roman" w:hAnsi="Times New Roman" w:cs="Times New Roman"/>
          <w:sz w:val="24"/>
          <w:lang w:val="es-MX"/>
        </w:rPr>
      </w:pPr>
      <w:r w:rsidRPr="00147E7A">
        <w:rPr>
          <w:rFonts w:ascii="Times New Roman" w:hAnsi="Times New Roman" w:cs="Times New Roman"/>
          <w:color w:val="000000" w:themeColor="text1"/>
          <w:sz w:val="24"/>
          <w:lang w:val="es-MX"/>
        </w:rPr>
        <w:t xml:space="preserve">Por su parte, únicamente en los rubros de remuneraciones y prestaciones a la seguridad social muestran variaciones positivas en su ejecución.  En el caso de </w:t>
      </w:r>
      <w:r w:rsidRPr="00147E7A">
        <w:rPr>
          <w:rFonts w:ascii="Times New Roman" w:hAnsi="Times New Roman" w:cs="Times New Roman"/>
          <w:sz w:val="24"/>
          <w:lang w:val="es-MX"/>
        </w:rPr>
        <w:t xml:space="preserve">las remuneraciones, </w:t>
      </w:r>
      <w:r w:rsidRPr="00147E7A">
        <w:rPr>
          <w:rFonts w:ascii="Times New Roman" w:hAnsi="Times New Roman" w:cs="Times New Roman"/>
          <w:sz w:val="24"/>
          <w:lang w:val="es-MX"/>
        </w:rPr>
        <w:lastRenderedPageBreak/>
        <w:t>estas han aumentado principalmente por el escalafón del Ministerio de Educación, el bono de antigüedad del Ministerio de Salud que es de aproximadamente Q</w:t>
      </w:r>
      <w:r w:rsidR="008C52F4">
        <w:rPr>
          <w:rFonts w:ascii="Times New Roman" w:hAnsi="Times New Roman" w:cs="Times New Roman"/>
          <w:sz w:val="24"/>
          <w:lang w:val="es-MX"/>
        </w:rPr>
        <w:t xml:space="preserve"> </w:t>
      </w:r>
      <w:r w:rsidRPr="00147E7A">
        <w:rPr>
          <w:rFonts w:ascii="Times New Roman" w:hAnsi="Times New Roman" w:cs="Times New Roman"/>
          <w:sz w:val="24"/>
          <w:lang w:val="es-MX"/>
        </w:rPr>
        <w:t xml:space="preserve">40 millones mensuales y por un aumento moderado en la nómina del Ministerio de Gobernación debido probablemente al incremento en el número de personal.  </w:t>
      </w:r>
    </w:p>
    <w:p w:rsidR="004059FA" w:rsidRPr="00147E7A" w:rsidRDefault="004059FA" w:rsidP="004059FA">
      <w:pPr>
        <w:pStyle w:val="Sinespaciado"/>
        <w:jc w:val="center"/>
        <w:rPr>
          <w:rFonts w:ascii="Times New Roman" w:hAnsi="Times New Roman" w:cs="Times New Roman"/>
          <w:sz w:val="24"/>
          <w:lang w:val="es-MX"/>
        </w:rPr>
      </w:pPr>
      <w:r w:rsidRPr="00147E7A">
        <w:rPr>
          <w:rFonts w:ascii="Times New Roman" w:hAnsi="Times New Roman" w:cs="Times New Roman"/>
          <w:sz w:val="24"/>
          <w:lang w:val="es-MX"/>
        </w:rPr>
        <w:t xml:space="preserve"> </w:t>
      </w:r>
    </w:p>
    <w:p w:rsidR="004059FA" w:rsidRPr="00147E7A" w:rsidRDefault="004059FA" w:rsidP="004059FA">
      <w:pPr>
        <w:pStyle w:val="Sinespaciado"/>
        <w:jc w:val="both"/>
        <w:rPr>
          <w:rFonts w:ascii="Times New Roman" w:hAnsi="Times New Roman" w:cs="Times New Roman"/>
          <w:color w:val="000000" w:themeColor="text1"/>
          <w:sz w:val="24"/>
        </w:rPr>
      </w:pPr>
      <w:r w:rsidRPr="00147E7A">
        <w:rPr>
          <w:rFonts w:ascii="Times New Roman" w:hAnsi="Times New Roman" w:cs="Times New Roman"/>
          <w:color w:val="000000" w:themeColor="text1"/>
          <w:sz w:val="24"/>
          <w:lang w:val="es-MX"/>
        </w:rPr>
        <w:t xml:space="preserve">Además de la contención se observa que la austeridad ha sido otro elemento importante en la política de gasto ya que al evaluar la ejecución del </w:t>
      </w:r>
      <w:r w:rsidRPr="00147E7A">
        <w:rPr>
          <w:rFonts w:ascii="Times New Roman" w:hAnsi="Times New Roman" w:cs="Times New Roman"/>
          <w:color w:val="000000" w:themeColor="text1"/>
          <w:sz w:val="24"/>
        </w:rPr>
        <w:t>gasto considerado como superfluo</w:t>
      </w:r>
      <w:r w:rsidRPr="00147E7A">
        <w:rPr>
          <w:rStyle w:val="Refdenotaalpie"/>
          <w:rFonts w:ascii="Times New Roman" w:hAnsi="Times New Roman" w:cs="Times New Roman"/>
          <w:color w:val="000000" w:themeColor="text1"/>
          <w:sz w:val="24"/>
        </w:rPr>
        <w:footnoteReference w:id="4"/>
      </w:r>
      <w:r w:rsidRPr="00147E7A">
        <w:rPr>
          <w:rFonts w:ascii="Times New Roman" w:hAnsi="Times New Roman" w:cs="Times New Roman"/>
          <w:color w:val="000000" w:themeColor="text1"/>
          <w:sz w:val="24"/>
        </w:rPr>
        <w:t xml:space="preserve"> muestra un nivel de Q</w:t>
      </w:r>
      <w:r w:rsidR="008C52F4">
        <w:rPr>
          <w:rFonts w:ascii="Times New Roman" w:hAnsi="Times New Roman" w:cs="Times New Roman"/>
          <w:color w:val="000000" w:themeColor="text1"/>
          <w:sz w:val="24"/>
        </w:rPr>
        <w:t xml:space="preserve"> </w:t>
      </w:r>
      <w:r w:rsidRPr="00147E7A">
        <w:rPr>
          <w:rFonts w:ascii="Times New Roman" w:hAnsi="Times New Roman" w:cs="Times New Roman"/>
          <w:color w:val="000000" w:themeColor="text1"/>
          <w:sz w:val="24"/>
        </w:rPr>
        <w:t>236.0 millones, mostrando una contracción importante de 29.5% con respecto al nivel observado en junio del año anterior, es decir, una reducción de gasto superfluo de Q</w:t>
      </w:r>
      <w:r w:rsidR="008C52F4">
        <w:rPr>
          <w:rFonts w:ascii="Times New Roman" w:hAnsi="Times New Roman" w:cs="Times New Roman"/>
          <w:color w:val="000000" w:themeColor="text1"/>
          <w:sz w:val="24"/>
        </w:rPr>
        <w:t xml:space="preserve"> </w:t>
      </w:r>
      <w:r w:rsidRPr="00147E7A">
        <w:rPr>
          <w:rFonts w:ascii="Times New Roman" w:hAnsi="Times New Roman" w:cs="Times New Roman"/>
          <w:color w:val="000000" w:themeColor="text1"/>
          <w:sz w:val="24"/>
        </w:rPr>
        <w:t>98.6 millones.  Además el nivel observado a la fecha es el más bajo en más de 5 años.   Asimismo, esta disminución observada afecta a la mayoría de los renglones que componen este gasto superfluo.</w:t>
      </w:r>
    </w:p>
    <w:p w:rsidR="004059FA" w:rsidRPr="00147E7A" w:rsidRDefault="004059FA" w:rsidP="004059FA">
      <w:pPr>
        <w:pStyle w:val="Sinespaciado"/>
        <w:jc w:val="both"/>
        <w:rPr>
          <w:rFonts w:ascii="Times New Roman" w:hAnsi="Times New Roman" w:cs="Times New Roman"/>
          <w:color w:val="000000" w:themeColor="text1"/>
          <w:sz w:val="24"/>
        </w:rPr>
      </w:pPr>
    </w:p>
    <w:p w:rsidR="004059FA" w:rsidRPr="00147E7A" w:rsidRDefault="004059FA" w:rsidP="004059FA">
      <w:pPr>
        <w:pStyle w:val="Sinespaciado"/>
        <w:jc w:val="center"/>
        <w:rPr>
          <w:rFonts w:ascii="Times New Roman" w:hAnsi="Times New Roman" w:cs="Times New Roman"/>
          <w:b/>
          <w:sz w:val="28"/>
        </w:rPr>
      </w:pPr>
      <w:r w:rsidRPr="008C52F4">
        <w:rPr>
          <w:rFonts w:ascii="Times New Roman" w:hAnsi="Times New Roman" w:cs="Times New Roman"/>
          <w:b/>
          <w:sz w:val="24"/>
        </w:rPr>
        <w:t>Gasto Superfluo</w:t>
      </w:r>
    </w:p>
    <w:p w:rsidR="004059FA" w:rsidRPr="008C52F4" w:rsidRDefault="004059FA" w:rsidP="004059FA">
      <w:pPr>
        <w:pStyle w:val="Sinespaciado"/>
        <w:jc w:val="center"/>
        <w:rPr>
          <w:rFonts w:ascii="Times New Roman" w:hAnsi="Times New Roman" w:cs="Times New Roman"/>
        </w:rPr>
      </w:pPr>
      <w:r w:rsidRPr="008C52F4">
        <w:rPr>
          <w:rFonts w:ascii="Times New Roman" w:hAnsi="Times New Roman" w:cs="Times New Roman"/>
        </w:rPr>
        <w:t>Millones de quetzales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89"/>
      </w:tblGrid>
      <w:tr w:rsidR="004059FA" w:rsidTr="004059FA">
        <w:trPr>
          <w:jc w:val="center"/>
        </w:trPr>
        <w:tc>
          <w:tcPr>
            <w:tcW w:w="4489" w:type="dxa"/>
            <w:hideMark/>
          </w:tcPr>
          <w:p w:rsidR="004059FA" w:rsidRDefault="004059FA">
            <w:pPr>
              <w:pStyle w:val="Sinespaciado"/>
              <w:jc w:val="center"/>
              <w:rPr>
                <w:rFonts w:ascii="Times New Roman" w:hAnsi="Times New Roman" w:cs="Times New Roman"/>
                <w:sz w:val="16"/>
              </w:rPr>
            </w:pPr>
            <w:r>
              <w:rPr>
                <w:rFonts w:ascii="Times New Roman" w:hAnsi="Times New Roman" w:cs="Times New Roman"/>
                <w:sz w:val="16"/>
              </w:rPr>
              <w:t xml:space="preserve">Acumulado a junio de cada año                  </w:t>
            </w:r>
          </w:p>
        </w:tc>
        <w:tc>
          <w:tcPr>
            <w:tcW w:w="4489" w:type="dxa"/>
            <w:hideMark/>
          </w:tcPr>
          <w:p w:rsidR="004059FA" w:rsidRDefault="004059FA">
            <w:pPr>
              <w:pStyle w:val="Sinespaciado"/>
              <w:jc w:val="center"/>
              <w:rPr>
                <w:rFonts w:ascii="Times New Roman" w:hAnsi="Times New Roman" w:cs="Times New Roman"/>
                <w:sz w:val="16"/>
              </w:rPr>
            </w:pPr>
            <w:r>
              <w:rPr>
                <w:rFonts w:ascii="Times New Roman" w:hAnsi="Times New Roman" w:cs="Times New Roman"/>
                <w:sz w:val="16"/>
              </w:rPr>
              <w:t xml:space="preserve">Variación por rubro a junio 2015-2016                  </w:t>
            </w:r>
          </w:p>
        </w:tc>
      </w:tr>
      <w:tr w:rsidR="004059FA" w:rsidTr="004059FA">
        <w:trPr>
          <w:jc w:val="center"/>
        </w:trPr>
        <w:tc>
          <w:tcPr>
            <w:tcW w:w="4489" w:type="dxa"/>
            <w:tcMar>
              <w:top w:w="0" w:type="dxa"/>
              <w:left w:w="70" w:type="dxa"/>
              <w:bottom w:w="0" w:type="dxa"/>
              <w:right w:w="70" w:type="dxa"/>
            </w:tcMar>
            <w:hideMark/>
          </w:tcPr>
          <w:p w:rsidR="004059FA" w:rsidRDefault="004059FA">
            <w:pPr>
              <w:pStyle w:val="Sinespaciado"/>
              <w:jc w:val="center"/>
              <w:rPr>
                <w:rFonts w:ascii="Times New Roman" w:hAnsi="Times New Roman" w:cs="Times New Roman"/>
                <w:sz w:val="18"/>
              </w:rPr>
            </w:pPr>
            <w:r>
              <w:rPr>
                <w:noProof/>
                <w:lang w:eastAsia="es-GT"/>
              </w:rPr>
              <w:drawing>
                <wp:inline distT="0" distB="0" distL="0" distR="0" wp14:anchorId="3C386C7E" wp14:editId="5BA6E7E0">
                  <wp:extent cx="2803525" cy="2009775"/>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489" w:type="dxa"/>
            <w:tcMar>
              <w:top w:w="0" w:type="dxa"/>
              <w:left w:w="70" w:type="dxa"/>
              <w:bottom w:w="0" w:type="dxa"/>
              <w:right w:w="70" w:type="dxa"/>
            </w:tcMar>
            <w:hideMark/>
          </w:tcPr>
          <w:p w:rsidR="004059FA" w:rsidRDefault="004059FA">
            <w:pPr>
              <w:pStyle w:val="Sinespaciado"/>
              <w:jc w:val="center"/>
              <w:rPr>
                <w:rFonts w:ascii="Times New Roman" w:hAnsi="Times New Roman" w:cs="Times New Roman"/>
                <w:sz w:val="18"/>
              </w:rPr>
            </w:pPr>
            <w:r>
              <w:rPr>
                <w:rFonts w:ascii="Times New Roman" w:hAnsi="Times New Roman" w:cs="Times New Roman"/>
                <w:noProof/>
                <w:sz w:val="18"/>
                <w:lang w:eastAsia="es-GT"/>
              </w:rPr>
              <w:drawing>
                <wp:inline distT="0" distB="0" distL="0" distR="0" wp14:anchorId="2D1A6EDE" wp14:editId="6A1C031A">
                  <wp:extent cx="2752090" cy="20961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2090" cy="2096135"/>
                          </a:xfrm>
                          <a:prstGeom prst="rect">
                            <a:avLst/>
                          </a:prstGeom>
                          <a:noFill/>
                          <a:ln>
                            <a:noFill/>
                          </a:ln>
                        </pic:spPr>
                      </pic:pic>
                    </a:graphicData>
                  </a:graphic>
                </wp:inline>
              </w:drawing>
            </w:r>
          </w:p>
        </w:tc>
      </w:tr>
    </w:tbl>
    <w:p w:rsidR="004059FA" w:rsidRDefault="004059FA" w:rsidP="004059FA">
      <w:pPr>
        <w:pStyle w:val="Sinespaciado"/>
        <w:jc w:val="both"/>
        <w:rPr>
          <w:rFonts w:ascii="Times New Roman" w:hAnsi="Times New Roman" w:cs="Times New Roman"/>
          <w:sz w:val="16"/>
        </w:rPr>
      </w:pPr>
      <w:r>
        <w:rPr>
          <w:rFonts w:ascii="Times New Roman" w:hAnsi="Times New Roman" w:cs="Times New Roman"/>
          <w:sz w:val="16"/>
        </w:rPr>
        <w:t>Fuente: Dirección de Análisis y Política fiscal</w:t>
      </w:r>
    </w:p>
    <w:p w:rsidR="004059FA" w:rsidRDefault="004059FA" w:rsidP="004059FA">
      <w:pPr>
        <w:pStyle w:val="Sinespaciado"/>
        <w:jc w:val="both"/>
        <w:rPr>
          <w:rFonts w:ascii="Times New Roman" w:hAnsi="Times New Roman" w:cs="Times New Roman"/>
          <w:color w:val="000000" w:themeColor="text1"/>
          <w:lang w:val="es-MX"/>
        </w:rPr>
      </w:pPr>
    </w:p>
    <w:p w:rsidR="004059FA" w:rsidRDefault="00147E7A" w:rsidP="008C52F4">
      <w:pPr>
        <w:pStyle w:val="Sinespaciado"/>
        <w:jc w:val="both"/>
        <w:outlineLvl w:val="1"/>
        <w:rPr>
          <w:rFonts w:ascii="Times New Roman" w:hAnsi="Times New Roman" w:cs="Times New Roman"/>
          <w:b/>
          <w:color w:val="000000" w:themeColor="text1"/>
          <w:lang w:val="es-MX"/>
        </w:rPr>
      </w:pPr>
      <w:bookmarkStart w:id="20" w:name="_Toc457550836"/>
      <w:r>
        <w:rPr>
          <w:rFonts w:ascii="Times New Roman" w:hAnsi="Times New Roman" w:cs="Times New Roman"/>
          <w:b/>
          <w:color w:val="000000" w:themeColor="text1"/>
          <w:lang w:val="es-MX"/>
        </w:rPr>
        <w:t xml:space="preserve">3.3  </w:t>
      </w:r>
      <w:r w:rsidR="004059FA">
        <w:rPr>
          <w:rFonts w:ascii="Times New Roman" w:hAnsi="Times New Roman" w:cs="Times New Roman"/>
          <w:b/>
          <w:color w:val="000000" w:themeColor="text1"/>
          <w:lang w:val="es-MX"/>
        </w:rPr>
        <w:t>Contención de gasto prioriza el gasto sectorial de los Acuerdos de Paz</w:t>
      </w:r>
      <w:bookmarkEnd w:id="20"/>
      <w:r w:rsidR="004059FA">
        <w:rPr>
          <w:rFonts w:ascii="Times New Roman" w:hAnsi="Times New Roman" w:cs="Times New Roman"/>
          <w:b/>
          <w:color w:val="000000" w:themeColor="text1"/>
          <w:lang w:val="es-MX"/>
        </w:rPr>
        <w:t xml:space="preserve"> </w:t>
      </w:r>
    </w:p>
    <w:p w:rsidR="004059FA" w:rsidRDefault="004059FA" w:rsidP="004059FA">
      <w:pPr>
        <w:pStyle w:val="Sinespaciado"/>
        <w:jc w:val="both"/>
        <w:rPr>
          <w:rFonts w:ascii="Times New Roman" w:hAnsi="Times New Roman" w:cs="Times New Roman"/>
          <w:color w:val="000000" w:themeColor="text1"/>
          <w:lang w:val="es-MX"/>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En el primer semestre del año, la ejecución del gasto social se vio afectada por la fuerte contención del gasto, que se dio con mayor rigidez durante el primer trimestre del año, afectando a todas las entidades del gobierno. El comportamiento en el gasto social fue reflejo de las directrices generales que se estaban siguiendo en el gasto público total.    </w:t>
      </w:r>
    </w:p>
    <w:p w:rsidR="004059FA" w:rsidRPr="00147E7A" w:rsidRDefault="004059FA" w:rsidP="004059FA">
      <w:pPr>
        <w:pStyle w:val="Sinespaciado"/>
        <w:jc w:val="both"/>
        <w:rPr>
          <w:rFonts w:ascii="Times New Roman" w:hAnsi="Times New Roman" w:cs="Times New Roman"/>
          <w:color w:val="000000" w:themeColor="text1"/>
          <w:sz w:val="24"/>
          <w:lang w:val="es-MX"/>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De esa cuenta, al cierre de junio del 2016, el gasto social en los sectores de salud, educación y vivienda ascendió a Q</w:t>
      </w:r>
      <w:r w:rsidR="008C52F4">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 xml:space="preserve">10,640.2 millones, al incluir los Compromisos de los </w:t>
      </w:r>
      <w:r w:rsidRPr="00147E7A">
        <w:rPr>
          <w:rFonts w:ascii="Times New Roman" w:hAnsi="Times New Roman" w:cs="Times New Roman"/>
          <w:color w:val="000000" w:themeColor="text1"/>
          <w:sz w:val="24"/>
          <w:lang w:val="es-MX"/>
        </w:rPr>
        <w:lastRenderedPageBreak/>
        <w:t>Acuerdos de Paz: Seguridad Interna, los aportes al Organismo Judicial (OJ), Corte de Constitucionalidad (CC) y Ministerio Público (MP), la cifra asciende a Q</w:t>
      </w:r>
      <w:r w:rsidR="008C52F4">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 xml:space="preserve">14,021.3 millones, con un crecimiento interanual negativo de 6.0%. </w:t>
      </w:r>
    </w:p>
    <w:p w:rsidR="004059FA" w:rsidRPr="00147E7A" w:rsidRDefault="004059FA" w:rsidP="004059FA">
      <w:pPr>
        <w:pStyle w:val="Sinespaciado"/>
        <w:jc w:val="both"/>
        <w:rPr>
          <w:rFonts w:ascii="Times New Roman" w:hAnsi="Times New Roman" w:cs="Times New Roman"/>
          <w:color w:val="000000" w:themeColor="text1"/>
          <w:sz w:val="24"/>
          <w:lang w:val="es-MX"/>
        </w:rPr>
      </w:pPr>
    </w:p>
    <w:p w:rsidR="004059F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Es importante señalar que en la mayoría de los renglones que conforman el gasto social se observa una contracción en su ejecución, la caída más significativa se dio en el sector vivienda (-87.7%), afectado por la baja ejecución que existe en general en el Ministerio de Comunicaciones, Infraestructura y Vivienda (CIV) y por los bajos montos solicitados por el Fondo para la Vivienda (FOPAVI).  </w:t>
      </w:r>
    </w:p>
    <w:p w:rsidR="004A7F3D" w:rsidRDefault="004A7F3D" w:rsidP="004059FA">
      <w:pPr>
        <w:pStyle w:val="Sinespaciado"/>
        <w:jc w:val="both"/>
        <w:rPr>
          <w:rFonts w:ascii="Times New Roman" w:hAnsi="Times New Roman" w:cs="Times New Roman"/>
          <w:color w:val="000000" w:themeColor="text1"/>
          <w:sz w:val="24"/>
          <w:lang w:val="es-MX"/>
        </w:rPr>
      </w:pPr>
    </w:p>
    <w:p w:rsidR="008C52F4" w:rsidRPr="00147E7A" w:rsidRDefault="008C52F4" w:rsidP="008C52F4">
      <w:pPr>
        <w:pStyle w:val="Sinespaciado"/>
        <w:jc w:val="center"/>
        <w:rPr>
          <w:rFonts w:ascii="Times New Roman" w:hAnsi="Times New Roman" w:cs="Times New Roman"/>
          <w:b/>
          <w:sz w:val="28"/>
        </w:rPr>
      </w:pPr>
      <w:r w:rsidRPr="008C52F4">
        <w:rPr>
          <w:rFonts w:ascii="Times New Roman" w:hAnsi="Times New Roman" w:cs="Times New Roman"/>
          <w:b/>
          <w:sz w:val="24"/>
        </w:rPr>
        <w:t xml:space="preserve">Gasto </w:t>
      </w:r>
      <w:r>
        <w:rPr>
          <w:rFonts w:ascii="Times New Roman" w:hAnsi="Times New Roman" w:cs="Times New Roman"/>
          <w:b/>
          <w:sz w:val="24"/>
        </w:rPr>
        <w:t>Sectorial de los Acuerdos de Paz</w:t>
      </w:r>
    </w:p>
    <w:p w:rsidR="008C52F4" w:rsidRDefault="008C52F4" w:rsidP="008C52F4">
      <w:pPr>
        <w:pStyle w:val="Sinespaciado"/>
        <w:jc w:val="center"/>
        <w:rPr>
          <w:rFonts w:ascii="Times New Roman" w:hAnsi="Times New Roman" w:cs="Times New Roman"/>
        </w:rPr>
      </w:pPr>
      <w:r>
        <w:rPr>
          <w:rFonts w:ascii="Times New Roman" w:hAnsi="Times New Roman" w:cs="Times New Roman"/>
        </w:rPr>
        <w:t>Acumulado a junio 2015 - 2016</w:t>
      </w:r>
    </w:p>
    <w:p w:rsidR="00147E7A" w:rsidRPr="004A7F3D" w:rsidRDefault="008C52F4" w:rsidP="004A7F3D">
      <w:pPr>
        <w:pStyle w:val="Sinespaciado"/>
        <w:jc w:val="center"/>
        <w:rPr>
          <w:rFonts w:ascii="Times New Roman" w:hAnsi="Times New Roman" w:cs="Times New Roman"/>
        </w:rPr>
      </w:pPr>
      <w:r>
        <w:rPr>
          <w:rFonts w:ascii="Times New Roman" w:hAnsi="Times New Roman" w:cs="Times New Roman"/>
        </w:rPr>
        <w:t>Cifras en m</w:t>
      </w:r>
      <w:r w:rsidR="004A7F3D">
        <w:rPr>
          <w:rFonts w:ascii="Times New Roman" w:hAnsi="Times New Roman" w:cs="Times New Roman"/>
        </w:rPr>
        <w:t>illones de quetzales</w:t>
      </w:r>
    </w:p>
    <w:p w:rsidR="004059FA" w:rsidRDefault="004059FA" w:rsidP="004059FA">
      <w:pPr>
        <w:pStyle w:val="Sinespaciado"/>
        <w:jc w:val="center"/>
        <w:rPr>
          <w:rFonts w:ascii="Times New Roman" w:hAnsi="Times New Roman" w:cs="Times New Roman"/>
          <w:color w:val="000000" w:themeColor="text1"/>
          <w:lang w:val="es-MX"/>
        </w:rPr>
      </w:pPr>
      <w:r>
        <w:rPr>
          <w:rFonts w:ascii="Times New Roman" w:hAnsi="Times New Roman" w:cs="Times New Roman"/>
          <w:noProof/>
          <w:color w:val="000000" w:themeColor="text1"/>
          <w:lang w:eastAsia="es-GT"/>
        </w:rPr>
        <w:drawing>
          <wp:inline distT="0" distB="0" distL="0" distR="0" wp14:anchorId="4FAFEF16" wp14:editId="2B73F563">
            <wp:extent cx="3648075" cy="172402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rotWithShape="1">
                    <a:blip r:embed="rId29">
                      <a:extLst>
                        <a:ext uri="{28A0092B-C50C-407E-A947-70E740481C1C}">
                          <a14:useLocalDpi xmlns:a14="http://schemas.microsoft.com/office/drawing/2010/main" val="0"/>
                        </a:ext>
                      </a:extLst>
                    </a:blip>
                    <a:srcRect t="19855" b="5278"/>
                    <a:stretch/>
                  </pic:blipFill>
                  <pic:spPr bwMode="auto">
                    <a:xfrm>
                      <a:off x="0" y="0"/>
                      <a:ext cx="3648710" cy="1724325"/>
                    </a:xfrm>
                    <a:prstGeom prst="rect">
                      <a:avLst/>
                    </a:prstGeom>
                    <a:noFill/>
                    <a:ln>
                      <a:noFill/>
                    </a:ln>
                    <a:extLst>
                      <a:ext uri="{53640926-AAD7-44D8-BBD7-CCE9431645EC}">
                        <a14:shadowObscured xmlns:a14="http://schemas.microsoft.com/office/drawing/2010/main"/>
                      </a:ext>
                    </a:extLst>
                  </pic:spPr>
                </pic:pic>
              </a:graphicData>
            </a:graphic>
          </wp:inline>
        </w:drawing>
      </w:r>
    </w:p>
    <w:p w:rsidR="004A7F3D" w:rsidRDefault="004A7F3D" w:rsidP="004A7F3D">
      <w:pPr>
        <w:pStyle w:val="Sinespaciado"/>
        <w:ind w:left="1416" w:firstLine="708"/>
        <w:jc w:val="both"/>
        <w:rPr>
          <w:rFonts w:ascii="Times New Roman" w:hAnsi="Times New Roman" w:cs="Times New Roman"/>
          <w:sz w:val="16"/>
        </w:rPr>
      </w:pPr>
      <w:r>
        <w:rPr>
          <w:rFonts w:ascii="Times New Roman" w:hAnsi="Times New Roman" w:cs="Times New Roman"/>
          <w:sz w:val="16"/>
        </w:rPr>
        <w:t>Fuente: Dirección de Análisis y Política fiscal</w:t>
      </w:r>
    </w:p>
    <w:p w:rsidR="004059FA" w:rsidRPr="004A7F3D" w:rsidRDefault="004059FA" w:rsidP="004059FA">
      <w:pPr>
        <w:pStyle w:val="Sinespaciado"/>
        <w:jc w:val="both"/>
        <w:rPr>
          <w:rFonts w:ascii="Times New Roman" w:hAnsi="Times New Roman" w:cs="Times New Roman"/>
          <w:color w:val="000000" w:themeColor="text1"/>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Únicamente el OJ, la CC y el MP muestran variaciones positivas, ya que se vieron favorecidos por mayores montos en las asignaciones de transferencias corrientes y de capital. Dichas instituciones se han beneficiado por la actual coyuntura nacional y además por una creciente presión por fortalecer a las instituciones asociadas a la justicia y la lucha contra la corrupción, a través de una mayor dotación de recursos financieros. </w:t>
      </w:r>
    </w:p>
    <w:p w:rsidR="004059FA" w:rsidRPr="00147E7A" w:rsidRDefault="004059FA" w:rsidP="004059FA">
      <w:pPr>
        <w:pStyle w:val="Sinespaciado"/>
        <w:jc w:val="both"/>
        <w:rPr>
          <w:rFonts w:ascii="Times New Roman" w:hAnsi="Times New Roman" w:cs="Times New Roman"/>
          <w:color w:val="000000" w:themeColor="text1"/>
          <w:sz w:val="24"/>
          <w:lang w:val="es-MX"/>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En contraste, se hace referencia a la baja ejecución en el gasto social asociado a salud y asistencia social, que ha visto una merma de Q</w:t>
      </w:r>
      <w:r w:rsidR="004A7F3D">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645.0 millones, respecto a la ejecución de cierre de junio del año anterior. La contracción de ejecución en el gasto de este sector cobra especial importancia, ya que el actual Gobierno se ha esforzado por sostener a la salud pública como un área prioritaria dentro de su mandato. El primer semestre del año se vio empañado por noticias mediáticas y polémicas en este sector, ante la falta de atención por la escasez de insumos en los hospitales y en los centros de atención.   Es importante indicar a este respecto, que el Ministerio de Finanzas ha priorizado la asignación de cuotas del Ministerio de Salud Pública y Asistencia Social, dotando prácticamente el 100% de los requerimientos solicitados por dicha entidad.</w:t>
      </w:r>
    </w:p>
    <w:p w:rsidR="004059FA" w:rsidRPr="00147E7A" w:rsidRDefault="004059FA" w:rsidP="004059FA">
      <w:pPr>
        <w:pStyle w:val="Sinespaciado"/>
        <w:jc w:val="both"/>
        <w:rPr>
          <w:rFonts w:ascii="Times New Roman" w:hAnsi="Times New Roman" w:cs="Times New Roman"/>
          <w:color w:val="000000" w:themeColor="text1"/>
          <w:sz w:val="24"/>
          <w:lang w:val="es-MX"/>
        </w:rPr>
      </w:pPr>
    </w:p>
    <w:p w:rsidR="004059F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El ritmo de la ejecución del gasto social fue más lenta en comparación a los años anteriores, únicamente en enero (1.6%) y junio (13.3%) se observan crecimientos positivos respecto al </w:t>
      </w:r>
      <w:r w:rsidRPr="00147E7A">
        <w:rPr>
          <w:rFonts w:ascii="Times New Roman" w:hAnsi="Times New Roman" w:cs="Times New Roman"/>
          <w:color w:val="000000" w:themeColor="text1"/>
          <w:sz w:val="24"/>
          <w:lang w:val="es-MX"/>
        </w:rPr>
        <w:lastRenderedPageBreak/>
        <w:t xml:space="preserve">año anterior, para el resto de meses se observa una contracción en la ejecución del gasto social, en algunos meses incluso menor al nivel observado en 2014, tal es el caso en marzo, abril y mayo. </w:t>
      </w:r>
    </w:p>
    <w:p w:rsidR="004A7F3D" w:rsidRDefault="004A7F3D" w:rsidP="004059FA">
      <w:pPr>
        <w:pStyle w:val="Sinespaciado"/>
        <w:jc w:val="both"/>
        <w:rPr>
          <w:rFonts w:ascii="Times New Roman" w:hAnsi="Times New Roman" w:cs="Times New Roman"/>
          <w:color w:val="000000" w:themeColor="text1"/>
          <w:sz w:val="24"/>
          <w:lang w:val="es-MX"/>
        </w:rPr>
      </w:pPr>
    </w:p>
    <w:p w:rsidR="004A7F3D" w:rsidRPr="004A7F3D" w:rsidRDefault="004A7F3D" w:rsidP="004A7F3D">
      <w:pPr>
        <w:pStyle w:val="Sinespaciado"/>
        <w:jc w:val="center"/>
        <w:rPr>
          <w:rFonts w:ascii="Times New Roman" w:hAnsi="Times New Roman" w:cs="Times New Roman"/>
          <w:b/>
          <w:color w:val="000000" w:themeColor="text1"/>
          <w:sz w:val="24"/>
          <w:lang w:val="es-MX"/>
        </w:rPr>
      </w:pPr>
      <w:r w:rsidRPr="004A7F3D">
        <w:rPr>
          <w:rFonts w:ascii="Times New Roman" w:hAnsi="Times New Roman" w:cs="Times New Roman"/>
          <w:b/>
          <w:color w:val="000000" w:themeColor="text1"/>
          <w:sz w:val="24"/>
          <w:lang w:val="es-MX"/>
        </w:rPr>
        <w:t>Gasto Ejecutado por los Programas Sociales</w:t>
      </w:r>
    </w:p>
    <w:p w:rsidR="004A7F3D" w:rsidRPr="004A7F3D" w:rsidRDefault="004A7F3D" w:rsidP="004A7F3D">
      <w:pPr>
        <w:pStyle w:val="Sinespaciado"/>
        <w:jc w:val="center"/>
        <w:rPr>
          <w:rFonts w:ascii="Times New Roman" w:hAnsi="Times New Roman" w:cs="Times New Roman"/>
          <w:color w:val="000000" w:themeColor="text1"/>
          <w:lang w:val="es-MX"/>
        </w:rPr>
      </w:pPr>
      <w:r w:rsidRPr="004A7F3D">
        <w:rPr>
          <w:rFonts w:ascii="Times New Roman" w:hAnsi="Times New Roman" w:cs="Times New Roman"/>
          <w:color w:val="000000" w:themeColor="text1"/>
          <w:lang w:val="es-MX"/>
        </w:rPr>
        <w:t>Acumulado a junio 2016</w:t>
      </w:r>
    </w:p>
    <w:p w:rsidR="004A7F3D" w:rsidRPr="004A7F3D" w:rsidRDefault="004A7F3D" w:rsidP="004A7F3D">
      <w:pPr>
        <w:pStyle w:val="Sinespaciado"/>
        <w:jc w:val="center"/>
        <w:rPr>
          <w:rFonts w:ascii="Times New Roman" w:hAnsi="Times New Roman" w:cs="Times New Roman"/>
          <w:color w:val="000000" w:themeColor="text1"/>
          <w:lang w:val="es-MX"/>
        </w:rPr>
      </w:pPr>
      <w:r w:rsidRPr="004A7F3D">
        <w:rPr>
          <w:rFonts w:ascii="Times New Roman" w:hAnsi="Times New Roman" w:cs="Times New Roman"/>
          <w:color w:val="000000" w:themeColor="text1"/>
          <w:lang w:val="es-MX"/>
        </w:rPr>
        <w:t>Millones de quetzales</w:t>
      </w:r>
    </w:p>
    <w:p w:rsidR="004A7F3D" w:rsidRDefault="004A7F3D" w:rsidP="004A7F3D">
      <w:pPr>
        <w:pStyle w:val="Sinespaciado"/>
        <w:jc w:val="both"/>
        <w:rPr>
          <w:rFonts w:ascii="Times New Roman" w:hAnsi="Times New Roman" w:cs="Times New Roman"/>
          <w:sz w:val="16"/>
        </w:rPr>
      </w:pPr>
      <w:r w:rsidRPr="00147E7A">
        <w:rPr>
          <w:noProof/>
          <w:sz w:val="24"/>
          <w:lang w:eastAsia="es-GT"/>
        </w:rPr>
        <w:drawing>
          <wp:anchor distT="0" distB="0" distL="114300" distR="114300" simplePos="0" relativeHeight="251659264" behindDoc="0" locked="0" layoutInCell="1" allowOverlap="1" wp14:anchorId="1A999B01" wp14:editId="11DC2625">
            <wp:simplePos x="0" y="0"/>
            <wp:positionH relativeFrom="column">
              <wp:posOffset>15240</wp:posOffset>
            </wp:positionH>
            <wp:positionV relativeFrom="paragraph">
              <wp:posOffset>43815</wp:posOffset>
            </wp:positionV>
            <wp:extent cx="5594985" cy="1266825"/>
            <wp:effectExtent l="0" t="0" r="5715"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30">
                      <a:extLst>
                        <a:ext uri="{28A0092B-C50C-407E-A947-70E740481C1C}">
                          <a14:useLocalDpi xmlns:a14="http://schemas.microsoft.com/office/drawing/2010/main" val="0"/>
                        </a:ext>
                      </a:extLst>
                    </a:blip>
                    <a:srcRect t="27166" b="6936"/>
                    <a:stretch/>
                  </pic:blipFill>
                  <pic:spPr bwMode="auto">
                    <a:xfrm>
                      <a:off x="0" y="0"/>
                      <a:ext cx="559498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rPr>
        <w:t xml:space="preserve"> Fuente: Dirección de Análisis y Política fiscal</w:t>
      </w:r>
    </w:p>
    <w:p w:rsidR="004059FA" w:rsidRPr="004A7F3D" w:rsidRDefault="004059FA" w:rsidP="004059FA">
      <w:pPr>
        <w:pStyle w:val="Sinespaciado"/>
        <w:jc w:val="both"/>
        <w:rPr>
          <w:rFonts w:ascii="Times New Roman" w:hAnsi="Times New Roman" w:cs="Times New Roman"/>
          <w:color w:val="000000" w:themeColor="text1"/>
          <w:sz w:val="24"/>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A pesar de la contención del gasto, se ha buscado priorizar el gasto orientado a los compromisos de los Acuerdos de Paz, como se puede visualizar en el grado de asignación que se le ha dado con respecto al monto total ejecutado por el gobierno.  De esa cuenta, de enero a junio 2016, se ha orientado proporcionalmente una mayor cantidad de recursos que en el año anterior a los sectores sociales prioritarios.</w:t>
      </w:r>
    </w:p>
    <w:p w:rsidR="004059FA" w:rsidRDefault="004059FA" w:rsidP="004059FA">
      <w:pPr>
        <w:pStyle w:val="Sinespaciado"/>
        <w:jc w:val="both"/>
        <w:rPr>
          <w:rFonts w:ascii="Times New Roman" w:hAnsi="Times New Roman" w:cs="Times New Roman"/>
          <w:color w:val="000000" w:themeColor="text1"/>
          <w:lang w:val="es-MX"/>
        </w:rPr>
      </w:pPr>
    </w:p>
    <w:p w:rsidR="004059FA" w:rsidRPr="004A7F3D" w:rsidRDefault="004059FA" w:rsidP="004059FA">
      <w:pPr>
        <w:pStyle w:val="Sinespaciado"/>
        <w:jc w:val="center"/>
        <w:rPr>
          <w:rFonts w:ascii="Times New Roman" w:hAnsi="Times New Roman" w:cs="Times New Roman"/>
          <w:b/>
          <w:color w:val="000000" w:themeColor="text1"/>
          <w:sz w:val="24"/>
          <w:lang w:val="es-MX"/>
        </w:rPr>
      </w:pPr>
      <w:r w:rsidRPr="004A7F3D">
        <w:rPr>
          <w:rFonts w:ascii="Times New Roman" w:hAnsi="Times New Roman" w:cs="Times New Roman"/>
          <w:b/>
          <w:color w:val="000000" w:themeColor="text1"/>
          <w:sz w:val="24"/>
          <w:lang w:val="es-MX"/>
        </w:rPr>
        <w:t>Gasto Social de Acuerdos de Paz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09"/>
      </w:tblGrid>
      <w:tr w:rsidR="004059FA" w:rsidTr="004A7F3D">
        <w:tc>
          <w:tcPr>
            <w:tcW w:w="4489" w:type="dxa"/>
            <w:hideMark/>
          </w:tcPr>
          <w:p w:rsidR="004059FA" w:rsidRDefault="004059FA">
            <w:pPr>
              <w:pStyle w:val="Sinespaciado"/>
              <w:jc w:val="center"/>
              <w:rPr>
                <w:rFonts w:ascii="Times New Roman" w:hAnsi="Times New Roman" w:cs="Times New Roman"/>
                <w:color w:val="000000" w:themeColor="text1"/>
                <w:sz w:val="18"/>
                <w:szCs w:val="18"/>
                <w:lang w:val="es-MX"/>
              </w:rPr>
            </w:pPr>
            <w:r>
              <w:rPr>
                <w:rFonts w:ascii="Times New Roman" w:hAnsi="Times New Roman" w:cs="Times New Roman"/>
                <w:color w:val="000000" w:themeColor="text1"/>
                <w:sz w:val="18"/>
                <w:szCs w:val="18"/>
                <w:lang w:val="es-MX"/>
              </w:rPr>
              <w:t>Comportamiento mensual de la ejecución del gasto social 2014-2016</w:t>
            </w:r>
          </w:p>
        </w:tc>
        <w:tc>
          <w:tcPr>
            <w:tcW w:w="4509" w:type="dxa"/>
            <w:hideMark/>
          </w:tcPr>
          <w:p w:rsidR="004059FA" w:rsidRDefault="004059FA">
            <w:pPr>
              <w:pStyle w:val="Sinespaciado"/>
              <w:jc w:val="center"/>
              <w:rPr>
                <w:rFonts w:ascii="Times New Roman" w:hAnsi="Times New Roman" w:cs="Times New Roman"/>
                <w:color w:val="000000" w:themeColor="text1"/>
                <w:sz w:val="18"/>
                <w:szCs w:val="18"/>
                <w:lang w:val="es-MX"/>
              </w:rPr>
            </w:pPr>
            <w:r>
              <w:rPr>
                <w:rFonts w:ascii="Times New Roman" w:hAnsi="Times New Roman" w:cs="Times New Roman"/>
                <w:color w:val="000000" w:themeColor="text1"/>
                <w:sz w:val="18"/>
                <w:szCs w:val="18"/>
                <w:lang w:val="es-MX"/>
              </w:rPr>
              <w:t>Participación del gasto social con respecto al gasto total</w:t>
            </w:r>
          </w:p>
        </w:tc>
      </w:tr>
      <w:tr w:rsidR="004059FA" w:rsidTr="004A7F3D">
        <w:trPr>
          <w:trHeight w:val="3024"/>
        </w:trPr>
        <w:tc>
          <w:tcPr>
            <w:tcW w:w="4489" w:type="dxa"/>
            <w:hideMark/>
          </w:tcPr>
          <w:p w:rsidR="004059FA" w:rsidRDefault="004059FA">
            <w:pPr>
              <w:pStyle w:val="Sinespaciado"/>
              <w:jc w:val="both"/>
              <w:rPr>
                <w:rFonts w:ascii="Times New Roman" w:hAnsi="Times New Roman" w:cs="Times New Roman"/>
                <w:color w:val="000000" w:themeColor="text1"/>
                <w:lang w:val="es-MX"/>
              </w:rPr>
            </w:pPr>
            <w:r>
              <w:rPr>
                <w:rFonts w:ascii="Times New Roman" w:hAnsi="Times New Roman" w:cs="Times New Roman"/>
                <w:noProof/>
                <w:color w:val="000000" w:themeColor="text1"/>
                <w:lang w:eastAsia="es-GT"/>
              </w:rPr>
              <w:drawing>
                <wp:inline distT="0" distB="0" distL="0" distR="0" wp14:anchorId="45B0166F" wp14:editId="0F59749F">
                  <wp:extent cx="2708910" cy="200152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8910" cy="2001520"/>
                          </a:xfrm>
                          <a:prstGeom prst="rect">
                            <a:avLst/>
                          </a:prstGeom>
                          <a:noFill/>
                          <a:ln>
                            <a:noFill/>
                          </a:ln>
                        </pic:spPr>
                      </pic:pic>
                    </a:graphicData>
                  </a:graphic>
                </wp:inline>
              </w:drawing>
            </w:r>
          </w:p>
        </w:tc>
        <w:tc>
          <w:tcPr>
            <w:tcW w:w="4509" w:type="dxa"/>
            <w:hideMark/>
          </w:tcPr>
          <w:p w:rsidR="004059FA" w:rsidRDefault="004059FA">
            <w:pPr>
              <w:pStyle w:val="Sinespaciado"/>
              <w:jc w:val="both"/>
              <w:rPr>
                <w:rFonts w:ascii="Times New Roman" w:hAnsi="Times New Roman" w:cs="Times New Roman"/>
                <w:b/>
                <w:color w:val="000000" w:themeColor="text1"/>
                <w:lang w:val="es-MX"/>
              </w:rPr>
            </w:pPr>
            <w:r>
              <w:rPr>
                <w:rFonts w:ascii="Times New Roman" w:hAnsi="Times New Roman" w:cs="Times New Roman"/>
                <w:b/>
                <w:noProof/>
                <w:color w:val="000000" w:themeColor="text1"/>
                <w:sz w:val="18"/>
                <w:lang w:eastAsia="es-GT"/>
              </w:rPr>
              <w:drawing>
                <wp:inline distT="0" distB="0" distL="0" distR="0" wp14:anchorId="75DBB87F" wp14:editId="0941DDF2">
                  <wp:extent cx="2726055" cy="2009775"/>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4A7F3D" w:rsidRDefault="004A7F3D" w:rsidP="004A7F3D">
      <w:pPr>
        <w:pStyle w:val="Sinespaciado"/>
        <w:jc w:val="both"/>
        <w:rPr>
          <w:rFonts w:ascii="Times New Roman" w:hAnsi="Times New Roman" w:cs="Times New Roman"/>
          <w:sz w:val="16"/>
        </w:rPr>
      </w:pPr>
      <w:r>
        <w:rPr>
          <w:rFonts w:ascii="Times New Roman" w:hAnsi="Times New Roman" w:cs="Times New Roman"/>
          <w:sz w:val="16"/>
        </w:rPr>
        <w:t>Fuente: Dirección de Análisis y Política fiscal</w:t>
      </w:r>
    </w:p>
    <w:p w:rsidR="004059FA" w:rsidRPr="004A7F3D" w:rsidRDefault="004059FA" w:rsidP="004059FA">
      <w:pPr>
        <w:pStyle w:val="Sinespaciado"/>
        <w:jc w:val="both"/>
        <w:rPr>
          <w:rFonts w:ascii="Times New Roman" w:hAnsi="Times New Roman" w:cs="Times New Roman"/>
          <w:color w:val="000000" w:themeColor="text1"/>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Un elemento que sin duda ha incidido en el comportamiento de los programas sociales de este año, es la ejecución del Ministerio de Desarrollo Social (MIDES), el cual ha sido una de las instituciones con menor grado de ejecución durante el primer semestre (18.0% de su presupuesto vigente), mientras que la ejecución institucional total se ubicaba en 40.3%. De esa cuenta, de enero a mayo, los programas sociales como la bolsa de alimentos, </w:t>
      </w:r>
      <w:r w:rsidRPr="00147E7A">
        <w:rPr>
          <w:rFonts w:ascii="Times New Roman" w:hAnsi="Times New Roman" w:cs="Times New Roman"/>
          <w:color w:val="000000" w:themeColor="text1"/>
          <w:sz w:val="24"/>
          <w:lang w:val="es-MX"/>
        </w:rPr>
        <w:lastRenderedPageBreak/>
        <w:t xml:space="preserve">comedores, escuelas abiertas y las transferencias condicionadas reportaron únicamente </w:t>
      </w:r>
      <w:r w:rsidR="004A7F3D">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Q</w:t>
      </w:r>
      <w:r w:rsidR="004A7F3D">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 xml:space="preserve">7.3 millones de ejecución. </w:t>
      </w:r>
    </w:p>
    <w:p w:rsidR="004059FA" w:rsidRPr="004A7F3D" w:rsidRDefault="004059FA" w:rsidP="004059FA">
      <w:pPr>
        <w:pStyle w:val="Sinespaciado"/>
        <w:jc w:val="both"/>
        <w:rPr>
          <w:rFonts w:ascii="Times New Roman" w:hAnsi="Times New Roman" w:cs="Times New Roman"/>
          <w:color w:val="000000" w:themeColor="text1"/>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En ese sentido, durante los primeros cinco meses del año, no se realizaron trasferencias condicionadas en salud y educación fue hasta en junio cuando finalmente la ejecución paso de ser nula a reportar Q</w:t>
      </w:r>
      <w:r w:rsidR="004A7F3D">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119.2 millones de ejecución.</w:t>
      </w:r>
    </w:p>
    <w:p w:rsidR="004059FA" w:rsidRPr="00147E7A" w:rsidRDefault="004059FA" w:rsidP="004059FA">
      <w:pPr>
        <w:pStyle w:val="Sinespaciado"/>
        <w:jc w:val="both"/>
        <w:rPr>
          <w:rFonts w:ascii="Times New Roman" w:hAnsi="Times New Roman" w:cs="Times New Roman"/>
          <w:color w:val="000000" w:themeColor="text1"/>
          <w:sz w:val="24"/>
          <w:lang w:val="es-MX"/>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Por su parte, la baja ejecución de la bolsa de alimentos se explica por la revisión y depuración de la base de datos de los beneficiarios, ya que el programa sería sustituido por una Transferencia Monetaria Condicionada (TMC) para alimentos, aunque continuaría siendo registrado dentro del programa “Bolsa de Alimentos”. La TMC para alimentos consiste en una tarjeta de débito que cuenta con un crédito de Q</w:t>
      </w:r>
      <w:r w:rsidR="004A7F3D">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 xml:space="preserve">250, recursos que le permite a los beneficiarios adquirir productos de la canasta básica en los establecimientos comerciales autorizados por el MIDES e identificados como “Centros de Canje”. La TMC en alimentos se encuentra en su primera fase de implementación, en los próximos meses se espera que el programa se extienda a más municipios. </w:t>
      </w:r>
    </w:p>
    <w:p w:rsidR="004059FA" w:rsidRPr="00147E7A" w:rsidRDefault="004059FA" w:rsidP="004059FA">
      <w:pPr>
        <w:pStyle w:val="Sinespaciado"/>
        <w:jc w:val="both"/>
        <w:rPr>
          <w:rFonts w:ascii="Times New Roman" w:hAnsi="Times New Roman" w:cs="Times New Roman"/>
          <w:color w:val="000000" w:themeColor="text1"/>
          <w:sz w:val="24"/>
          <w:lang w:val="es-MX"/>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Tomando en consideración que el MIDES es la institución encargada de velar por acciones para el desarrollo social sostenible de los grupos excluidos y vulnerables en condición de pobreza y pobreza extrema, se torna preocupante que en los primeros meses del año esta población quedara desprotegida. </w:t>
      </w:r>
    </w:p>
    <w:p w:rsidR="004059FA" w:rsidRDefault="004059FA" w:rsidP="004059FA">
      <w:pPr>
        <w:pStyle w:val="Sinespaciado"/>
        <w:jc w:val="both"/>
        <w:rPr>
          <w:rFonts w:ascii="Times New Roman" w:hAnsi="Times New Roman" w:cs="Times New Roman"/>
          <w:color w:val="000000" w:themeColor="text1"/>
          <w:lang w:val="es-MX"/>
        </w:rPr>
      </w:pPr>
    </w:p>
    <w:p w:rsidR="004059FA" w:rsidRPr="00147E7A" w:rsidRDefault="00147E7A" w:rsidP="004A7F3D">
      <w:pPr>
        <w:pStyle w:val="Sinespaciado"/>
        <w:jc w:val="both"/>
        <w:outlineLvl w:val="1"/>
        <w:rPr>
          <w:rFonts w:ascii="Times New Roman" w:hAnsi="Times New Roman" w:cs="Times New Roman"/>
          <w:b/>
          <w:color w:val="000000" w:themeColor="text1"/>
          <w:sz w:val="24"/>
          <w:lang w:val="es-MX"/>
        </w:rPr>
      </w:pPr>
      <w:bookmarkStart w:id="21" w:name="_Toc457550837"/>
      <w:r>
        <w:rPr>
          <w:rFonts w:ascii="Times New Roman" w:hAnsi="Times New Roman" w:cs="Times New Roman"/>
          <w:b/>
          <w:color w:val="000000" w:themeColor="text1"/>
          <w:sz w:val="24"/>
          <w:lang w:val="es-MX"/>
        </w:rPr>
        <w:t xml:space="preserve">3.4   </w:t>
      </w:r>
      <w:r w:rsidR="004059FA" w:rsidRPr="00147E7A">
        <w:rPr>
          <w:rFonts w:ascii="Times New Roman" w:hAnsi="Times New Roman" w:cs="Times New Roman"/>
          <w:b/>
          <w:color w:val="000000" w:themeColor="text1"/>
          <w:sz w:val="24"/>
          <w:lang w:val="es-MX"/>
        </w:rPr>
        <w:t>Se incorpora dentro de la ejecución presupuestaria el seguimiento al Plan de la Alianza para la Prosperidad Triángulo Norte (PAPTN)</w:t>
      </w:r>
      <w:bookmarkEnd w:id="21"/>
    </w:p>
    <w:p w:rsidR="004059FA" w:rsidRDefault="004059FA" w:rsidP="004059FA">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 </w:t>
      </w: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Desde 2014 se dio un incremento de la emigración de menores no acompañados hacia Estados Unidos procedentes de los países del Triángulo Norte (Guatemala, Honduras y El Salvador), situación que desato una crisis migratoria y significo la búsqueda de respuestas inmediatas. El PAPTN es una iniciativa que busca dar una respuesta estructural al problema migratorio, con acciones en el corto y mediano plazo, a través de cuatro ejes estratégicos:</w:t>
      </w:r>
    </w:p>
    <w:p w:rsidR="004059FA" w:rsidRPr="00147E7A" w:rsidRDefault="004059FA" w:rsidP="004059FA">
      <w:pPr>
        <w:pStyle w:val="Sinespaciado"/>
        <w:jc w:val="both"/>
        <w:rPr>
          <w:rFonts w:ascii="Times New Roman" w:hAnsi="Times New Roman" w:cs="Times New Roman"/>
          <w:color w:val="000000" w:themeColor="text1"/>
          <w:sz w:val="24"/>
          <w:lang w:val="es-MX"/>
        </w:rPr>
      </w:pPr>
    </w:p>
    <w:p w:rsidR="004059FA" w:rsidRPr="00147E7A" w:rsidRDefault="004059FA" w:rsidP="004059FA">
      <w:pPr>
        <w:pStyle w:val="Sinespaciado"/>
        <w:numPr>
          <w:ilvl w:val="0"/>
          <w:numId w:val="31"/>
        </w:numPr>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Dinamizar el Sector Productivo</w:t>
      </w:r>
    </w:p>
    <w:p w:rsidR="004059FA" w:rsidRPr="00147E7A" w:rsidRDefault="004059FA" w:rsidP="004059FA">
      <w:pPr>
        <w:pStyle w:val="Sinespaciado"/>
        <w:numPr>
          <w:ilvl w:val="0"/>
          <w:numId w:val="31"/>
        </w:numPr>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Desarrollar el Capital Humano</w:t>
      </w:r>
    </w:p>
    <w:p w:rsidR="004059FA" w:rsidRPr="00147E7A" w:rsidRDefault="004059FA" w:rsidP="004059FA">
      <w:pPr>
        <w:pStyle w:val="Sinespaciado"/>
        <w:numPr>
          <w:ilvl w:val="0"/>
          <w:numId w:val="31"/>
        </w:numPr>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Mejorar la Seguridad Ciudadana y Justicia</w:t>
      </w:r>
    </w:p>
    <w:p w:rsidR="004059FA" w:rsidRPr="00147E7A" w:rsidRDefault="004059FA" w:rsidP="004059FA">
      <w:pPr>
        <w:pStyle w:val="Sinespaciado"/>
        <w:numPr>
          <w:ilvl w:val="0"/>
          <w:numId w:val="31"/>
        </w:numPr>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Fortalecimiento Institucional y Mejorar la Transparencia </w:t>
      </w:r>
    </w:p>
    <w:p w:rsidR="004059FA" w:rsidRPr="00147E7A" w:rsidRDefault="004059FA" w:rsidP="004059FA">
      <w:pPr>
        <w:pStyle w:val="Sinespaciado"/>
        <w:ind w:left="720"/>
        <w:jc w:val="both"/>
        <w:rPr>
          <w:rFonts w:ascii="Times New Roman" w:hAnsi="Times New Roman" w:cs="Times New Roman"/>
          <w:color w:val="000000" w:themeColor="text1"/>
          <w:sz w:val="24"/>
          <w:lang w:val="es-MX"/>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Cada eje estratégico cuenta con líneas de acción que contribuyen a lograr los objetivos del PAPTN a través de inversiones estratégicas en infraestructura, educación, salud, seguridad, entre otras.</w:t>
      </w: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  </w:t>
      </w: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 xml:space="preserve">De esa cuenta, el Gobierno de Guatemala ha identificado dentro del Presupuesto General de Ingresos y Egresos para el ejercicio 2016, una serie de programas implementados por las instituciones públicas del Gobierno Central que se alinean a los ejes estratégicos planteados </w:t>
      </w:r>
      <w:r w:rsidRPr="00147E7A">
        <w:rPr>
          <w:rFonts w:ascii="Times New Roman" w:hAnsi="Times New Roman" w:cs="Times New Roman"/>
          <w:color w:val="000000" w:themeColor="text1"/>
          <w:sz w:val="24"/>
          <w:lang w:val="es-MX"/>
        </w:rPr>
        <w:lastRenderedPageBreak/>
        <w:t>por el PAPTN. El Ministerio de Finanzas Públicas como ente rector del tema ha dado seguimiento al avance de la ejecución financiera de los programas alineados al PAPTN.</w:t>
      </w:r>
    </w:p>
    <w:p w:rsidR="004059FA" w:rsidRPr="00147E7A" w:rsidRDefault="004059FA" w:rsidP="004059FA">
      <w:pPr>
        <w:pStyle w:val="Sinespaciado"/>
        <w:jc w:val="both"/>
        <w:rPr>
          <w:rFonts w:ascii="Times New Roman" w:hAnsi="Times New Roman" w:cs="Times New Roman"/>
          <w:color w:val="000000" w:themeColor="text1"/>
          <w:sz w:val="24"/>
          <w:lang w:val="es-MX"/>
        </w:rPr>
      </w:pPr>
    </w:p>
    <w:p w:rsidR="004059FA" w:rsidRPr="00147E7A" w:rsidRDefault="004059FA" w:rsidP="004059FA">
      <w:pPr>
        <w:pStyle w:val="Sinespaciado"/>
        <w:jc w:val="both"/>
        <w:rPr>
          <w:rFonts w:ascii="Times New Roman" w:hAnsi="Times New Roman" w:cs="Times New Roman"/>
          <w:color w:val="000000" w:themeColor="text1"/>
          <w:sz w:val="24"/>
          <w:lang w:val="es-MX"/>
        </w:rPr>
      </w:pPr>
      <w:r w:rsidRPr="00147E7A">
        <w:rPr>
          <w:rFonts w:ascii="Times New Roman" w:hAnsi="Times New Roman" w:cs="Times New Roman"/>
          <w:color w:val="000000" w:themeColor="text1"/>
          <w:sz w:val="24"/>
          <w:lang w:val="es-MX"/>
        </w:rPr>
        <w:t>Hasta el cierre de junio, la ejecución de los programas asociados al PAPTN alcanzaban un grado de ejecución de 18.8% (Q</w:t>
      </w:r>
      <w:r w:rsidR="00B3352E">
        <w:rPr>
          <w:rFonts w:ascii="Times New Roman" w:hAnsi="Times New Roman" w:cs="Times New Roman"/>
          <w:color w:val="000000" w:themeColor="text1"/>
          <w:sz w:val="24"/>
          <w:lang w:val="es-MX"/>
        </w:rPr>
        <w:t xml:space="preserve"> </w:t>
      </w:r>
      <w:r w:rsidRPr="00147E7A">
        <w:rPr>
          <w:rFonts w:ascii="Times New Roman" w:hAnsi="Times New Roman" w:cs="Times New Roman"/>
          <w:color w:val="000000" w:themeColor="text1"/>
          <w:sz w:val="24"/>
          <w:lang w:val="es-MX"/>
        </w:rPr>
        <w:t xml:space="preserve">1,049.0 millones), respecto al presupuesto vigente. Se ha identificado que el Ministerio de Comunicaciones, Infraestructura y Vivienda (CIV), presenta problemas en la ejecución de sus programas generales, lo cual se refleja también en la ejecución de los programas asociados al PAPTN, que reportan únicamente un 4.6% de ejecución; al remover al CIV de las instituciones que conforman el PAPTN, el grado de ejecución ascendería a 28.4%. </w:t>
      </w:r>
    </w:p>
    <w:p w:rsidR="004059FA" w:rsidRPr="00B3352E" w:rsidRDefault="004059FA" w:rsidP="004059FA">
      <w:pPr>
        <w:pStyle w:val="Sinespaciado"/>
        <w:jc w:val="both"/>
        <w:rPr>
          <w:rFonts w:ascii="Times New Roman" w:hAnsi="Times New Roman" w:cs="Times New Roman"/>
          <w:color w:val="000000" w:themeColor="text1"/>
          <w:sz w:val="20"/>
          <w:lang w:val="es-MX"/>
        </w:rPr>
      </w:pPr>
    </w:p>
    <w:p w:rsidR="004059FA" w:rsidRPr="00B3352E" w:rsidRDefault="004059FA" w:rsidP="004059FA">
      <w:pPr>
        <w:pStyle w:val="Sinespaciado"/>
        <w:jc w:val="center"/>
        <w:rPr>
          <w:rFonts w:ascii="Times New Roman" w:hAnsi="Times New Roman" w:cs="Times New Roman"/>
          <w:b/>
          <w:color w:val="000000" w:themeColor="text1"/>
          <w:sz w:val="24"/>
          <w:lang w:val="es-MX"/>
        </w:rPr>
      </w:pPr>
      <w:r w:rsidRPr="00B3352E">
        <w:rPr>
          <w:rFonts w:ascii="Times New Roman" w:hAnsi="Times New Roman" w:cs="Times New Roman"/>
          <w:b/>
          <w:color w:val="000000" w:themeColor="text1"/>
          <w:sz w:val="24"/>
          <w:lang w:val="es-MX"/>
        </w:rPr>
        <w:t>Plan de la Alianza para la Prosperidad Triángulo Norte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658"/>
      </w:tblGrid>
      <w:tr w:rsidR="004059FA" w:rsidTr="00B3352E">
        <w:tc>
          <w:tcPr>
            <w:tcW w:w="4396" w:type="dxa"/>
            <w:hideMark/>
          </w:tcPr>
          <w:p w:rsidR="004059FA" w:rsidRPr="00B3352E" w:rsidRDefault="004059FA">
            <w:pPr>
              <w:pStyle w:val="Sinespaciado"/>
              <w:jc w:val="center"/>
              <w:rPr>
                <w:rFonts w:ascii="Times New Roman" w:hAnsi="Times New Roman" w:cs="Times New Roman"/>
                <w:b/>
                <w:sz w:val="18"/>
                <w:lang w:val="es-MX"/>
              </w:rPr>
            </w:pPr>
            <w:r w:rsidRPr="00B3352E">
              <w:rPr>
                <w:rFonts w:ascii="Times New Roman" w:hAnsi="Times New Roman" w:cs="Times New Roman"/>
                <w:b/>
                <w:sz w:val="18"/>
                <w:lang w:val="es-MX"/>
              </w:rPr>
              <w:t>Ejecución Por Entidad</w:t>
            </w:r>
          </w:p>
          <w:p w:rsidR="004059FA" w:rsidRDefault="004059FA">
            <w:pPr>
              <w:pStyle w:val="Sinespaciado"/>
              <w:jc w:val="center"/>
              <w:rPr>
                <w:rFonts w:ascii="Times New Roman" w:hAnsi="Times New Roman" w:cs="Times New Roman"/>
                <w:color w:val="000000" w:themeColor="text1"/>
                <w:sz w:val="18"/>
                <w:lang w:val="es-MX"/>
              </w:rPr>
            </w:pPr>
            <w:r>
              <w:rPr>
                <w:rFonts w:ascii="Times New Roman" w:hAnsi="Times New Roman" w:cs="Times New Roman"/>
                <w:sz w:val="18"/>
                <w:lang w:val="es-MX"/>
              </w:rPr>
              <w:t>Millones de quetzales</w:t>
            </w:r>
          </w:p>
        </w:tc>
        <w:tc>
          <w:tcPr>
            <w:tcW w:w="4658" w:type="dxa"/>
            <w:hideMark/>
          </w:tcPr>
          <w:p w:rsidR="004059FA" w:rsidRPr="00B3352E" w:rsidRDefault="004059FA">
            <w:pPr>
              <w:pStyle w:val="Sinespaciado"/>
              <w:jc w:val="center"/>
              <w:rPr>
                <w:rFonts w:ascii="Times New Roman" w:hAnsi="Times New Roman" w:cs="Times New Roman"/>
                <w:b/>
                <w:sz w:val="18"/>
                <w:lang w:val="es-MX"/>
              </w:rPr>
            </w:pPr>
            <w:r w:rsidRPr="00B3352E">
              <w:rPr>
                <w:rFonts w:ascii="Times New Roman" w:hAnsi="Times New Roman" w:cs="Times New Roman"/>
                <w:b/>
                <w:sz w:val="18"/>
                <w:lang w:val="es-MX"/>
              </w:rPr>
              <w:t>Ejecución Por Eje Estratégico</w:t>
            </w:r>
          </w:p>
          <w:p w:rsidR="004059FA" w:rsidRDefault="004059FA">
            <w:pPr>
              <w:pStyle w:val="Sinespaciado"/>
              <w:jc w:val="center"/>
              <w:rPr>
                <w:rFonts w:ascii="Times New Roman" w:hAnsi="Times New Roman" w:cs="Times New Roman"/>
                <w:color w:val="000000" w:themeColor="text1"/>
                <w:sz w:val="18"/>
                <w:lang w:val="es-MX"/>
              </w:rPr>
            </w:pPr>
            <w:r>
              <w:rPr>
                <w:rFonts w:ascii="Times New Roman" w:hAnsi="Times New Roman" w:cs="Times New Roman"/>
                <w:sz w:val="18"/>
                <w:lang w:val="es-MX"/>
              </w:rPr>
              <w:t>Millones de quetzales y porcentajes</w:t>
            </w:r>
          </w:p>
        </w:tc>
      </w:tr>
      <w:tr w:rsidR="004059FA" w:rsidTr="00B3352E">
        <w:tc>
          <w:tcPr>
            <w:tcW w:w="4396" w:type="dxa"/>
            <w:hideMark/>
          </w:tcPr>
          <w:tbl>
            <w:tblPr>
              <w:tblW w:w="4087" w:type="dxa"/>
              <w:tblCellMar>
                <w:left w:w="70" w:type="dxa"/>
                <w:right w:w="70" w:type="dxa"/>
              </w:tblCellMar>
              <w:tblLook w:val="04A0" w:firstRow="1" w:lastRow="0" w:firstColumn="1" w:lastColumn="0" w:noHBand="0" w:noVBand="1"/>
            </w:tblPr>
            <w:tblGrid>
              <w:gridCol w:w="1394"/>
              <w:gridCol w:w="1054"/>
              <w:gridCol w:w="819"/>
              <w:gridCol w:w="820"/>
            </w:tblGrid>
            <w:tr w:rsidR="004059FA">
              <w:trPr>
                <w:trHeight w:val="490"/>
              </w:trPr>
              <w:tc>
                <w:tcPr>
                  <w:tcW w:w="1394"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4059FA" w:rsidRDefault="004059FA">
                  <w:pPr>
                    <w:jc w:val="center"/>
                    <w:rPr>
                      <w:rFonts w:ascii="Times New Roman" w:eastAsia="Times New Roman" w:hAnsi="Times New Roman" w:cs="Times New Roman"/>
                      <w:b/>
                      <w:bCs/>
                      <w:color w:val="000000"/>
                      <w:sz w:val="16"/>
                      <w:lang w:eastAsia="es-GT"/>
                    </w:rPr>
                  </w:pPr>
                  <w:r>
                    <w:rPr>
                      <w:rFonts w:ascii="Times New Roman" w:eastAsia="Times New Roman" w:hAnsi="Times New Roman" w:cs="Times New Roman"/>
                      <w:b/>
                      <w:bCs/>
                      <w:color w:val="000000"/>
                      <w:sz w:val="16"/>
                      <w:lang w:eastAsia="es-GT"/>
                    </w:rPr>
                    <w:t>DESCRIPCIÓN</w:t>
                  </w:r>
                </w:p>
              </w:tc>
              <w:tc>
                <w:tcPr>
                  <w:tcW w:w="1054" w:type="dxa"/>
                  <w:tcBorders>
                    <w:top w:val="single" w:sz="8" w:space="0" w:color="auto"/>
                    <w:left w:val="nil"/>
                    <w:bottom w:val="single" w:sz="8" w:space="0" w:color="auto"/>
                    <w:right w:val="single" w:sz="4" w:space="0" w:color="auto"/>
                  </w:tcBorders>
                  <w:shd w:val="clear" w:color="auto" w:fill="FFFFFF"/>
                  <w:vAlign w:val="center"/>
                  <w:hideMark/>
                </w:tcPr>
                <w:p w:rsidR="004059FA" w:rsidRDefault="004059FA">
                  <w:pPr>
                    <w:jc w:val="center"/>
                    <w:rPr>
                      <w:rFonts w:ascii="Times New Roman" w:eastAsia="Times New Roman" w:hAnsi="Times New Roman" w:cs="Times New Roman"/>
                      <w:b/>
                      <w:bCs/>
                      <w:color w:val="000000"/>
                      <w:sz w:val="16"/>
                      <w:lang w:eastAsia="es-GT"/>
                    </w:rPr>
                  </w:pPr>
                  <w:r>
                    <w:rPr>
                      <w:rFonts w:ascii="Times New Roman" w:eastAsia="Times New Roman" w:hAnsi="Times New Roman" w:cs="Times New Roman"/>
                      <w:b/>
                      <w:bCs/>
                      <w:color w:val="000000"/>
                      <w:sz w:val="16"/>
                      <w:lang w:eastAsia="es-GT"/>
                    </w:rPr>
                    <w:t>Presupuesto Vigente</w:t>
                  </w:r>
                </w:p>
              </w:tc>
              <w:tc>
                <w:tcPr>
                  <w:tcW w:w="819" w:type="dxa"/>
                  <w:tcBorders>
                    <w:top w:val="single" w:sz="8" w:space="0" w:color="auto"/>
                    <w:left w:val="nil"/>
                    <w:bottom w:val="single" w:sz="8" w:space="0" w:color="auto"/>
                    <w:right w:val="single" w:sz="4" w:space="0" w:color="auto"/>
                  </w:tcBorders>
                  <w:shd w:val="clear" w:color="auto" w:fill="FFFFFF"/>
                  <w:vAlign w:val="center"/>
                  <w:hideMark/>
                </w:tcPr>
                <w:p w:rsidR="004059FA" w:rsidRDefault="004059FA">
                  <w:pPr>
                    <w:jc w:val="center"/>
                    <w:rPr>
                      <w:rFonts w:ascii="Times New Roman" w:eastAsia="Times New Roman" w:hAnsi="Times New Roman" w:cs="Times New Roman"/>
                      <w:b/>
                      <w:bCs/>
                      <w:color w:val="000000"/>
                      <w:sz w:val="16"/>
                      <w:lang w:eastAsia="es-GT"/>
                    </w:rPr>
                  </w:pPr>
                  <w:r>
                    <w:rPr>
                      <w:rFonts w:ascii="Times New Roman" w:eastAsia="Times New Roman" w:hAnsi="Times New Roman" w:cs="Times New Roman"/>
                      <w:b/>
                      <w:bCs/>
                      <w:color w:val="000000"/>
                      <w:sz w:val="16"/>
                      <w:lang w:eastAsia="es-GT"/>
                    </w:rPr>
                    <w:t>Ejecución</w:t>
                  </w:r>
                </w:p>
              </w:tc>
              <w:tc>
                <w:tcPr>
                  <w:tcW w:w="820" w:type="dxa"/>
                  <w:tcBorders>
                    <w:top w:val="single" w:sz="8" w:space="0" w:color="auto"/>
                    <w:left w:val="nil"/>
                    <w:bottom w:val="single" w:sz="8" w:space="0" w:color="auto"/>
                    <w:right w:val="single" w:sz="8" w:space="0" w:color="auto"/>
                  </w:tcBorders>
                  <w:shd w:val="clear" w:color="auto" w:fill="FFFFFF"/>
                  <w:vAlign w:val="center"/>
                  <w:hideMark/>
                </w:tcPr>
                <w:p w:rsidR="004059FA" w:rsidRDefault="004059FA">
                  <w:pPr>
                    <w:jc w:val="center"/>
                    <w:rPr>
                      <w:rFonts w:ascii="Times New Roman" w:eastAsia="Times New Roman" w:hAnsi="Times New Roman" w:cs="Times New Roman"/>
                      <w:b/>
                      <w:bCs/>
                      <w:color w:val="000000"/>
                      <w:sz w:val="16"/>
                      <w:lang w:eastAsia="es-GT"/>
                    </w:rPr>
                  </w:pPr>
                  <w:r>
                    <w:rPr>
                      <w:rFonts w:ascii="Times New Roman" w:eastAsia="Times New Roman" w:hAnsi="Times New Roman" w:cs="Times New Roman"/>
                      <w:b/>
                      <w:bCs/>
                      <w:color w:val="000000"/>
                      <w:sz w:val="16"/>
                      <w:lang w:eastAsia="es-GT"/>
                    </w:rPr>
                    <w:t>% de ejecución</w:t>
                  </w:r>
                </w:p>
              </w:tc>
            </w:tr>
            <w:tr w:rsidR="004059FA">
              <w:trPr>
                <w:trHeight w:val="219"/>
              </w:trPr>
              <w:tc>
                <w:tcPr>
                  <w:tcW w:w="1394" w:type="dxa"/>
                  <w:tcBorders>
                    <w:top w:val="single" w:sz="8" w:space="0" w:color="auto"/>
                    <w:left w:val="single" w:sz="8" w:space="0" w:color="auto"/>
                    <w:bottom w:val="nil"/>
                    <w:right w:val="single" w:sz="4" w:space="0" w:color="auto"/>
                  </w:tcBorders>
                  <w:shd w:val="clear" w:color="auto" w:fill="BFBFBF"/>
                  <w:noWrap/>
                  <w:vAlign w:val="center"/>
                  <w:hideMark/>
                </w:tcPr>
                <w:p w:rsidR="004059FA" w:rsidRDefault="004059FA">
                  <w:pPr>
                    <w:jc w:val="center"/>
                    <w:rPr>
                      <w:rFonts w:ascii="Times New Roman" w:eastAsia="Times New Roman" w:hAnsi="Times New Roman" w:cs="Times New Roman"/>
                      <w:b/>
                      <w:bCs/>
                      <w:color w:val="000000"/>
                      <w:sz w:val="16"/>
                      <w:lang w:eastAsia="es-GT"/>
                    </w:rPr>
                  </w:pPr>
                  <w:r>
                    <w:rPr>
                      <w:rFonts w:ascii="Times New Roman" w:eastAsia="Times New Roman" w:hAnsi="Times New Roman" w:cs="Times New Roman"/>
                      <w:b/>
                      <w:bCs/>
                      <w:color w:val="000000"/>
                      <w:sz w:val="16"/>
                      <w:lang w:eastAsia="es-GT"/>
                    </w:rPr>
                    <w:t>TOTAL</w:t>
                  </w:r>
                </w:p>
              </w:tc>
              <w:tc>
                <w:tcPr>
                  <w:tcW w:w="1054" w:type="dxa"/>
                  <w:tcBorders>
                    <w:top w:val="nil"/>
                    <w:left w:val="nil"/>
                    <w:bottom w:val="nil"/>
                    <w:right w:val="single" w:sz="4" w:space="0" w:color="auto"/>
                  </w:tcBorders>
                  <w:shd w:val="clear" w:color="auto" w:fill="BFBFBF"/>
                  <w:noWrap/>
                  <w:vAlign w:val="center"/>
                  <w:hideMark/>
                </w:tcPr>
                <w:p w:rsidR="004059FA" w:rsidRDefault="004059FA">
                  <w:pPr>
                    <w:jc w:val="right"/>
                    <w:rPr>
                      <w:rFonts w:ascii="Times New Roman" w:eastAsia="Times New Roman" w:hAnsi="Times New Roman" w:cs="Times New Roman"/>
                      <w:b/>
                      <w:bCs/>
                      <w:color w:val="000000"/>
                      <w:sz w:val="16"/>
                      <w:lang w:eastAsia="es-GT"/>
                    </w:rPr>
                  </w:pPr>
                  <w:r>
                    <w:rPr>
                      <w:rFonts w:ascii="Times New Roman" w:eastAsia="Times New Roman" w:hAnsi="Times New Roman" w:cs="Times New Roman"/>
                      <w:b/>
                      <w:bCs/>
                      <w:color w:val="000000"/>
                      <w:sz w:val="16"/>
                      <w:lang w:eastAsia="es-GT"/>
                    </w:rPr>
                    <w:t>5,571.3</w:t>
                  </w:r>
                </w:p>
              </w:tc>
              <w:tc>
                <w:tcPr>
                  <w:tcW w:w="819" w:type="dxa"/>
                  <w:tcBorders>
                    <w:top w:val="nil"/>
                    <w:left w:val="nil"/>
                    <w:bottom w:val="nil"/>
                    <w:right w:val="single" w:sz="4" w:space="0" w:color="auto"/>
                  </w:tcBorders>
                  <w:shd w:val="clear" w:color="auto" w:fill="BFBFBF"/>
                  <w:noWrap/>
                  <w:vAlign w:val="center"/>
                  <w:hideMark/>
                </w:tcPr>
                <w:p w:rsidR="004059FA" w:rsidRDefault="004059FA">
                  <w:pPr>
                    <w:jc w:val="right"/>
                    <w:rPr>
                      <w:rFonts w:ascii="Times New Roman" w:eastAsia="Times New Roman" w:hAnsi="Times New Roman" w:cs="Times New Roman"/>
                      <w:b/>
                      <w:bCs/>
                      <w:color w:val="000000"/>
                      <w:sz w:val="16"/>
                      <w:lang w:eastAsia="es-GT"/>
                    </w:rPr>
                  </w:pPr>
                  <w:r>
                    <w:rPr>
                      <w:rFonts w:ascii="Times New Roman" w:eastAsia="Times New Roman" w:hAnsi="Times New Roman" w:cs="Times New Roman"/>
                      <w:b/>
                      <w:bCs/>
                      <w:color w:val="000000"/>
                      <w:sz w:val="16"/>
                      <w:lang w:eastAsia="es-GT"/>
                    </w:rPr>
                    <w:t>1,049.0</w:t>
                  </w:r>
                </w:p>
              </w:tc>
              <w:tc>
                <w:tcPr>
                  <w:tcW w:w="820" w:type="dxa"/>
                  <w:tcBorders>
                    <w:top w:val="nil"/>
                    <w:left w:val="nil"/>
                    <w:bottom w:val="nil"/>
                    <w:right w:val="single" w:sz="8" w:space="0" w:color="auto"/>
                  </w:tcBorders>
                  <w:shd w:val="clear" w:color="auto" w:fill="BFBFBF"/>
                  <w:noWrap/>
                  <w:vAlign w:val="center"/>
                  <w:hideMark/>
                </w:tcPr>
                <w:p w:rsidR="004059FA" w:rsidRDefault="004059FA">
                  <w:pPr>
                    <w:jc w:val="right"/>
                    <w:rPr>
                      <w:rFonts w:ascii="Times New Roman" w:eastAsia="Times New Roman" w:hAnsi="Times New Roman" w:cs="Times New Roman"/>
                      <w:b/>
                      <w:bCs/>
                      <w:color w:val="000000"/>
                      <w:sz w:val="16"/>
                      <w:lang w:eastAsia="es-GT"/>
                    </w:rPr>
                  </w:pPr>
                  <w:r>
                    <w:rPr>
                      <w:rFonts w:ascii="Times New Roman" w:eastAsia="Times New Roman" w:hAnsi="Times New Roman" w:cs="Times New Roman"/>
                      <w:b/>
                      <w:bCs/>
                      <w:color w:val="000000"/>
                      <w:sz w:val="16"/>
                      <w:lang w:eastAsia="es-GT"/>
                    </w:rPr>
                    <w:t>18.8</w:t>
                  </w:r>
                </w:p>
              </w:tc>
            </w:tr>
            <w:tr w:rsidR="004059FA">
              <w:trPr>
                <w:trHeight w:val="264"/>
              </w:trPr>
              <w:tc>
                <w:tcPr>
                  <w:tcW w:w="1394" w:type="dxa"/>
                  <w:tcBorders>
                    <w:top w:val="nil"/>
                    <w:left w:val="single" w:sz="8" w:space="0" w:color="auto"/>
                    <w:bottom w:val="nil"/>
                    <w:right w:val="single" w:sz="4" w:space="0" w:color="auto"/>
                  </w:tcBorders>
                  <w:shd w:val="clear" w:color="auto" w:fill="FFFFFF"/>
                  <w:noWrap/>
                  <w:vAlign w:val="center"/>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CIV</w:t>
                  </w:r>
                </w:p>
              </w:tc>
              <w:tc>
                <w:tcPr>
                  <w:tcW w:w="1054" w:type="dxa"/>
                  <w:tcBorders>
                    <w:top w:val="nil"/>
                    <w:left w:val="nil"/>
                    <w:bottom w:val="nil"/>
                    <w:right w:val="single" w:sz="4" w:space="0" w:color="auto"/>
                  </w:tcBorders>
                  <w:shd w:val="clear" w:color="auto" w:fill="FFFFFF"/>
                  <w:noWrap/>
                  <w:vAlign w:val="center"/>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2,241.1</w:t>
                  </w:r>
                </w:p>
              </w:tc>
              <w:tc>
                <w:tcPr>
                  <w:tcW w:w="819" w:type="dxa"/>
                  <w:tcBorders>
                    <w:top w:val="nil"/>
                    <w:left w:val="nil"/>
                    <w:bottom w:val="nil"/>
                    <w:right w:val="single" w:sz="4" w:space="0" w:color="auto"/>
                  </w:tcBorders>
                  <w:shd w:val="clear" w:color="auto" w:fill="FFFFFF"/>
                  <w:noWrap/>
                  <w:vAlign w:val="center"/>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102.3</w:t>
                  </w:r>
                </w:p>
              </w:tc>
              <w:tc>
                <w:tcPr>
                  <w:tcW w:w="820" w:type="dxa"/>
                  <w:tcBorders>
                    <w:top w:val="nil"/>
                    <w:left w:val="nil"/>
                    <w:bottom w:val="nil"/>
                    <w:right w:val="single" w:sz="8" w:space="0" w:color="auto"/>
                  </w:tcBorders>
                  <w:shd w:val="clear" w:color="auto" w:fill="FFFFFF"/>
                  <w:noWrap/>
                  <w:vAlign w:val="center"/>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4.6</w:t>
                  </w:r>
                </w:p>
              </w:tc>
            </w:tr>
            <w:tr w:rsidR="004059FA">
              <w:trPr>
                <w:trHeight w:val="219"/>
              </w:trPr>
              <w:tc>
                <w:tcPr>
                  <w:tcW w:w="1394" w:type="dxa"/>
                  <w:tcBorders>
                    <w:top w:val="nil"/>
                    <w:left w:val="single" w:sz="8" w:space="0" w:color="auto"/>
                    <w:bottom w:val="nil"/>
                    <w:right w:val="single" w:sz="4" w:space="0" w:color="auto"/>
                  </w:tcBorders>
                  <w:shd w:val="clear" w:color="auto" w:fill="FFFFFF"/>
                  <w:noWrap/>
                  <w:vAlign w:val="center"/>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MIDES</w:t>
                  </w:r>
                </w:p>
              </w:tc>
              <w:tc>
                <w:tcPr>
                  <w:tcW w:w="1054" w:type="dxa"/>
                  <w:tcBorders>
                    <w:top w:val="nil"/>
                    <w:left w:val="nil"/>
                    <w:bottom w:val="nil"/>
                    <w:right w:val="single" w:sz="4" w:space="0" w:color="auto"/>
                  </w:tcBorders>
                  <w:shd w:val="clear" w:color="auto" w:fill="FFFFFF"/>
                  <w:noWrap/>
                  <w:vAlign w:val="center"/>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698.8</w:t>
                  </w:r>
                </w:p>
              </w:tc>
              <w:tc>
                <w:tcPr>
                  <w:tcW w:w="819" w:type="dxa"/>
                  <w:tcBorders>
                    <w:top w:val="nil"/>
                    <w:left w:val="nil"/>
                    <w:bottom w:val="nil"/>
                    <w:right w:val="single" w:sz="4" w:space="0" w:color="auto"/>
                  </w:tcBorders>
                  <w:shd w:val="clear" w:color="auto" w:fill="FFFFFF"/>
                  <w:noWrap/>
                  <w:vAlign w:val="center"/>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124.6</w:t>
                  </w:r>
                </w:p>
              </w:tc>
              <w:tc>
                <w:tcPr>
                  <w:tcW w:w="820" w:type="dxa"/>
                  <w:tcBorders>
                    <w:top w:val="nil"/>
                    <w:left w:val="nil"/>
                    <w:bottom w:val="nil"/>
                    <w:right w:val="single" w:sz="8" w:space="0" w:color="auto"/>
                  </w:tcBorders>
                  <w:shd w:val="clear" w:color="auto" w:fill="FFFFFF"/>
                  <w:noWrap/>
                  <w:vAlign w:val="center"/>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17.8</w:t>
                  </w:r>
                </w:p>
              </w:tc>
            </w:tr>
            <w:tr w:rsidR="004059FA">
              <w:trPr>
                <w:trHeight w:val="219"/>
              </w:trPr>
              <w:tc>
                <w:tcPr>
                  <w:tcW w:w="1394" w:type="dxa"/>
                  <w:tcBorders>
                    <w:top w:val="nil"/>
                    <w:left w:val="single" w:sz="8" w:space="0" w:color="auto"/>
                    <w:bottom w:val="nil"/>
                    <w:right w:val="single" w:sz="4" w:space="0" w:color="auto"/>
                  </w:tcBorders>
                  <w:shd w:val="clear" w:color="auto" w:fill="FFFFFF"/>
                  <w:noWrap/>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MAGA</w:t>
                  </w:r>
                </w:p>
              </w:tc>
              <w:tc>
                <w:tcPr>
                  <w:tcW w:w="1054"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366.8</w:t>
                  </w:r>
                </w:p>
              </w:tc>
              <w:tc>
                <w:tcPr>
                  <w:tcW w:w="819"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37.2</w:t>
                  </w:r>
                </w:p>
              </w:tc>
              <w:tc>
                <w:tcPr>
                  <w:tcW w:w="820" w:type="dxa"/>
                  <w:tcBorders>
                    <w:top w:val="nil"/>
                    <w:left w:val="nil"/>
                    <w:bottom w:val="nil"/>
                    <w:right w:val="single" w:sz="8"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10.1</w:t>
                  </w:r>
                </w:p>
              </w:tc>
            </w:tr>
            <w:tr w:rsidR="004059FA">
              <w:trPr>
                <w:trHeight w:val="219"/>
              </w:trPr>
              <w:tc>
                <w:tcPr>
                  <w:tcW w:w="1394" w:type="dxa"/>
                  <w:tcBorders>
                    <w:top w:val="nil"/>
                    <w:left w:val="single" w:sz="8" w:space="0" w:color="auto"/>
                    <w:bottom w:val="nil"/>
                    <w:right w:val="single" w:sz="4" w:space="0" w:color="auto"/>
                  </w:tcBorders>
                  <w:shd w:val="clear" w:color="auto" w:fill="FFFFFF"/>
                  <w:noWrap/>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MINECO</w:t>
                  </w:r>
                </w:p>
              </w:tc>
              <w:tc>
                <w:tcPr>
                  <w:tcW w:w="1054"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58.3</w:t>
                  </w:r>
                </w:p>
              </w:tc>
              <w:tc>
                <w:tcPr>
                  <w:tcW w:w="819"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11.4</w:t>
                  </w:r>
                </w:p>
              </w:tc>
              <w:tc>
                <w:tcPr>
                  <w:tcW w:w="820" w:type="dxa"/>
                  <w:tcBorders>
                    <w:top w:val="nil"/>
                    <w:left w:val="nil"/>
                    <w:bottom w:val="nil"/>
                    <w:right w:val="single" w:sz="8"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19.5</w:t>
                  </w:r>
                </w:p>
              </w:tc>
            </w:tr>
            <w:tr w:rsidR="004059FA">
              <w:trPr>
                <w:trHeight w:val="219"/>
              </w:trPr>
              <w:tc>
                <w:tcPr>
                  <w:tcW w:w="1394" w:type="dxa"/>
                  <w:tcBorders>
                    <w:top w:val="nil"/>
                    <w:left w:val="single" w:sz="8" w:space="0" w:color="auto"/>
                    <w:bottom w:val="nil"/>
                    <w:right w:val="single" w:sz="4" w:space="0" w:color="auto"/>
                  </w:tcBorders>
                  <w:shd w:val="clear" w:color="auto" w:fill="FFFFFF"/>
                  <w:noWrap/>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MINEDUC</w:t>
                  </w:r>
                </w:p>
              </w:tc>
              <w:tc>
                <w:tcPr>
                  <w:tcW w:w="1054"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478.0</w:t>
                  </w:r>
                </w:p>
              </w:tc>
              <w:tc>
                <w:tcPr>
                  <w:tcW w:w="819"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197.0</w:t>
                  </w:r>
                </w:p>
              </w:tc>
              <w:tc>
                <w:tcPr>
                  <w:tcW w:w="820" w:type="dxa"/>
                  <w:tcBorders>
                    <w:top w:val="nil"/>
                    <w:left w:val="nil"/>
                    <w:bottom w:val="nil"/>
                    <w:right w:val="single" w:sz="8"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41.2</w:t>
                  </w:r>
                </w:p>
              </w:tc>
            </w:tr>
            <w:tr w:rsidR="004059FA">
              <w:trPr>
                <w:trHeight w:val="219"/>
              </w:trPr>
              <w:tc>
                <w:tcPr>
                  <w:tcW w:w="1394" w:type="dxa"/>
                  <w:tcBorders>
                    <w:top w:val="nil"/>
                    <w:left w:val="single" w:sz="8" w:space="0" w:color="auto"/>
                    <w:bottom w:val="nil"/>
                    <w:right w:val="single" w:sz="4" w:space="0" w:color="auto"/>
                  </w:tcBorders>
                  <w:shd w:val="clear" w:color="auto" w:fill="FFFFFF"/>
                  <w:noWrap/>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MINTRAB</w:t>
                  </w:r>
                </w:p>
              </w:tc>
              <w:tc>
                <w:tcPr>
                  <w:tcW w:w="1054"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30.8</w:t>
                  </w:r>
                </w:p>
              </w:tc>
              <w:tc>
                <w:tcPr>
                  <w:tcW w:w="819"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11.8</w:t>
                  </w:r>
                </w:p>
              </w:tc>
              <w:tc>
                <w:tcPr>
                  <w:tcW w:w="820" w:type="dxa"/>
                  <w:tcBorders>
                    <w:top w:val="nil"/>
                    <w:left w:val="nil"/>
                    <w:bottom w:val="nil"/>
                    <w:right w:val="single" w:sz="8"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38.4</w:t>
                  </w:r>
                </w:p>
              </w:tc>
            </w:tr>
            <w:tr w:rsidR="004059FA">
              <w:trPr>
                <w:trHeight w:val="219"/>
              </w:trPr>
              <w:tc>
                <w:tcPr>
                  <w:tcW w:w="1394" w:type="dxa"/>
                  <w:tcBorders>
                    <w:top w:val="nil"/>
                    <w:left w:val="single" w:sz="8" w:space="0" w:color="auto"/>
                    <w:bottom w:val="nil"/>
                    <w:right w:val="single" w:sz="4" w:space="0" w:color="auto"/>
                  </w:tcBorders>
                  <w:shd w:val="clear" w:color="auto" w:fill="FFFFFF"/>
                  <w:noWrap/>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MSPAS</w:t>
                  </w:r>
                </w:p>
              </w:tc>
              <w:tc>
                <w:tcPr>
                  <w:tcW w:w="1054"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1,283.6</w:t>
                  </w:r>
                </w:p>
              </w:tc>
              <w:tc>
                <w:tcPr>
                  <w:tcW w:w="819"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399.4</w:t>
                  </w:r>
                </w:p>
              </w:tc>
              <w:tc>
                <w:tcPr>
                  <w:tcW w:w="820" w:type="dxa"/>
                  <w:tcBorders>
                    <w:top w:val="nil"/>
                    <w:left w:val="nil"/>
                    <w:bottom w:val="nil"/>
                    <w:right w:val="single" w:sz="8"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31.1</w:t>
                  </w:r>
                </w:p>
              </w:tc>
            </w:tr>
            <w:tr w:rsidR="004059FA">
              <w:trPr>
                <w:trHeight w:val="219"/>
              </w:trPr>
              <w:tc>
                <w:tcPr>
                  <w:tcW w:w="1394" w:type="dxa"/>
                  <w:tcBorders>
                    <w:top w:val="nil"/>
                    <w:left w:val="single" w:sz="8" w:space="0" w:color="auto"/>
                    <w:bottom w:val="nil"/>
                    <w:right w:val="single" w:sz="4" w:space="0" w:color="auto"/>
                  </w:tcBorders>
                  <w:shd w:val="clear" w:color="auto" w:fill="FFFFFF"/>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MINGOB</w:t>
                  </w:r>
                </w:p>
              </w:tc>
              <w:tc>
                <w:tcPr>
                  <w:tcW w:w="1054"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335.9</w:t>
                  </w:r>
                </w:p>
              </w:tc>
              <w:tc>
                <w:tcPr>
                  <w:tcW w:w="819" w:type="dxa"/>
                  <w:tcBorders>
                    <w:top w:val="nil"/>
                    <w:left w:val="nil"/>
                    <w:bottom w:val="nil"/>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140.6</w:t>
                  </w:r>
                </w:p>
              </w:tc>
              <w:tc>
                <w:tcPr>
                  <w:tcW w:w="820" w:type="dxa"/>
                  <w:tcBorders>
                    <w:top w:val="nil"/>
                    <w:left w:val="nil"/>
                    <w:bottom w:val="nil"/>
                    <w:right w:val="single" w:sz="8"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41.9</w:t>
                  </w:r>
                </w:p>
              </w:tc>
            </w:tr>
            <w:tr w:rsidR="004059FA">
              <w:trPr>
                <w:trHeight w:val="436"/>
              </w:trPr>
              <w:tc>
                <w:tcPr>
                  <w:tcW w:w="1394" w:type="dxa"/>
                  <w:tcBorders>
                    <w:top w:val="nil"/>
                    <w:left w:val="single" w:sz="8" w:space="0" w:color="auto"/>
                    <w:bottom w:val="nil"/>
                    <w:right w:val="single" w:sz="4" w:space="0" w:color="auto"/>
                  </w:tcBorders>
                  <w:shd w:val="clear" w:color="auto" w:fill="FFFFFF"/>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Secretaría contra la violencia sexual</w:t>
                  </w:r>
                </w:p>
              </w:tc>
              <w:tc>
                <w:tcPr>
                  <w:tcW w:w="1054" w:type="dxa"/>
                  <w:tcBorders>
                    <w:top w:val="nil"/>
                    <w:left w:val="nil"/>
                    <w:bottom w:val="nil"/>
                    <w:right w:val="single" w:sz="4" w:space="0" w:color="auto"/>
                  </w:tcBorders>
                  <w:shd w:val="clear" w:color="auto" w:fill="FFFFFF"/>
                  <w:noWrap/>
                  <w:vAlign w:val="center"/>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8.3</w:t>
                  </w:r>
                </w:p>
              </w:tc>
              <w:tc>
                <w:tcPr>
                  <w:tcW w:w="819" w:type="dxa"/>
                  <w:tcBorders>
                    <w:top w:val="nil"/>
                    <w:left w:val="nil"/>
                    <w:bottom w:val="nil"/>
                    <w:right w:val="single" w:sz="4" w:space="0" w:color="auto"/>
                  </w:tcBorders>
                  <w:shd w:val="clear" w:color="auto" w:fill="FFFFFF"/>
                  <w:noWrap/>
                  <w:vAlign w:val="center"/>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2.9</w:t>
                  </w:r>
                </w:p>
              </w:tc>
              <w:tc>
                <w:tcPr>
                  <w:tcW w:w="820" w:type="dxa"/>
                  <w:tcBorders>
                    <w:top w:val="nil"/>
                    <w:left w:val="nil"/>
                    <w:bottom w:val="nil"/>
                    <w:right w:val="single" w:sz="8" w:space="0" w:color="auto"/>
                  </w:tcBorders>
                  <w:shd w:val="clear" w:color="auto" w:fill="FFFFFF"/>
                  <w:noWrap/>
                  <w:vAlign w:val="center"/>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34.5</w:t>
                  </w:r>
                </w:p>
              </w:tc>
            </w:tr>
            <w:tr w:rsidR="004059FA">
              <w:trPr>
                <w:trHeight w:val="66"/>
              </w:trPr>
              <w:tc>
                <w:tcPr>
                  <w:tcW w:w="1394" w:type="dxa"/>
                  <w:tcBorders>
                    <w:top w:val="nil"/>
                    <w:left w:val="single" w:sz="8" w:space="0" w:color="auto"/>
                    <w:bottom w:val="single" w:sz="8" w:space="0" w:color="auto"/>
                    <w:right w:val="single" w:sz="4" w:space="0" w:color="auto"/>
                  </w:tcBorders>
                  <w:shd w:val="clear" w:color="auto" w:fill="FFFFFF"/>
                  <w:hideMark/>
                </w:tcPr>
                <w:p w:rsidR="004059FA" w:rsidRDefault="004059FA">
                  <w:pPr>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MINFIN</w:t>
                  </w:r>
                </w:p>
              </w:tc>
              <w:tc>
                <w:tcPr>
                  <w:tcW w:w="1054" w:type="dxa"/>
                  <w:tcBorders>
                    <w:top w:val="nil"/>
                    <w:left w:val="nil"/>
                    <w:bottom w:val="single" w:sz="8" w:space="0" w:color="auto"/>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69.8</w:t>
                  </w:r>
                </w:p>
              </w:tc>
              <w:tc>
                <w:tcPr>
                  <w:tcW w:w="819" w:type="dxa"/>
                  <w:tcBorders>
                    <w:top w:val="nil"/>
                    <w:left w:val="nil"/>
                    <w:bottom w:val="single" w:sz="8" w:space="0" w:color="auto"/>
                    <w:right w:val="single" w:sz="4"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21.8</w:t>
                  </w:r>
                </w:p>
              </w:tc>
              <w:tc>
                <w:tcPr>
                  <w:tcW w:w="820" w:type="dxa"/>
                  <w:tcBorders>
                    <w:top w:val="nil"/>
                    <w:left w:val="nil"/>
                    <w:bottom w:val="single" w:sz="8" w:space="0" w:color="auto"/>
                    <w:right w:val="single" w:sz="8" w:space="0" w:color="auto"/>
                  </w:tcBorders>
                  <w:shd w:val="clear" w:color="auto" w:fill="FFFFFF"/>
                  <w:noWrap/>
                  <w:hideMark/>
                </w:tcPr>
                <w:p w:rsidR="004059FA" w:rsidRDefault="004059FA">
                  <w:pPr>
                    <w:jc w:val="right"/>
                    <w:rPr>
                      <w:rFonts w:ascii="Times New Roman" w:eastAsia="Times New Roman" w:hAnsi="Times New Roman" w:cs="Times New Roman"/>
                      <w:color w:val="000000"/>
                      <w:sz w:val="16"/>
                      <w:lang w:eastAsia="es-GT"/>
                    </w:rPr>
                  </w:pPr>
                  <w:r>
                    <w:rPr>
                      <w:rFonts w:ascii="Times New Roman" w:eastAsia="Times New Roman" w:hAnsi="Times New Roman" w:cs="Times New Roman"/>
                      <w:color w:val="000000"/>
                      <w:sz w:val="16"/>
                      <w:lang w:eastAsia="es-GT"/>
                    </w:rPr>
                    <w:t>31.2</w:t>
                  </w:r>
                </w:p>
              </w:tc>
            </w:tr>
          </w:tbl>
          <w:p w:rsidR="004059FA" w:rsidRDefault="004059FA">
            <w:pPr>
              <w:pStyle w:val="Sinespaciado"/>
              <w:jc w:val="both"/>
              <w:rPr>
                <w:rFonts w:ascii="Times New Roman" w:hAnsi="Times New Roman" w:cs="Times New Roman"/>
                <w:color w:val="000000" w:themeColor="text1"/>
                <w:lang w:val="es-MX"/>
              </w:rPr>
            </w:pPr>
          </w:p>
        </w:tc>
        <w:tc>
          <w:tcPr>
            <w:tcW w:w="4658" w:type="dxa"/>
            <w:hideMark/>
          </w:tcPr>
          <w:p w:rsidR="004059FA" w:rsidRDefault="004059FA">
            <w:pPr>
              <w:pStyle w:val="Sinespaciado"/>
              <w:jc w:val="both"/>
              <w:rPr>
                <w:rFonts w:ascii="Times New Roman" w:hAnsi="Times New Roman" w:cs="Times New Roman"/>
                <w:color w:val="000000" w:themeColor="text1"/>
                <w:lang w:val="es-MX"/>
              </w:rPr>
            </w:pPr>
            <w:r>
              <w:rPr>
                <w:rFonts w:ascii="Times New Roman" w:hAnsi="Times New Roman" w:cs="Times New Roman"/>
                <w:noProof/>
                <w:color w:val="000000" w:themeColor="text1"/>
                <w:lang w:eastAsia="es-GT"/>
              </w:rPr>
              <w:drawing>
                <wp:inline distT="0" distB="0" distL="0" distR="0" wp14:anchorId="3EEC3F7E" wp14:editId="084C8F8E">
                  <wp:extent cx="2820670" cy="20097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0670" cy="2009775"/>
                          </a:xfrm>
                          <a:prstGeom prst="rect">
                            <a:avLst/>
                          </a:prstGeom>
                          <a:noFill/>
                          <a:ln>
                            <a:noFill/>
                          </a:ln>
                        </pic:spPr>
                      </pic:pic>
                    </a:graphicData>
                  </a:graphic>
                </wp:inline>
              </w:drawing>
            </w:r>
          </w:p>
        </w:tc>
      </w:tr>
    </w:tbl>
    <w:p w:rsidR="00B3352E" w:rsidRDefault="00B3352E" w:rsidP="00B3352E">
      <w:pPr>
        <w:pStyle w:val="Sinespaciado"/>
        <w:jc w:val="both"/>
        <w:rPr>
          <w:rFonts w:ascii="Times New Roman" w:hAnsi="Times New Roman" w:cs="Times New Roman"/>
          <w:sz w:val="16"/>
        </w:rPr>
      </w:pPr>
      <w:r>
        <w:rPr>
          <w:rFonts w:ascii="Times New Roman" w:hAnsi="Times New Roman" w:cs="Times New Roman"/>
          <w:sz w:val="16"/>
        </w:rPr>
        <w:t>Fuente: Dirección de Análisis y Política fiscal</w:t>
      </w:r>
    </w:p>
    <w:p w:rsidR="00546852" w:rsidRDefault="00546852" w:rsidP="004059FA">
      <w:pPr>
        <w:pStyle w:val="Sinespaciado"/>
        <w:jc w:val="both"/>
        <w:rPr>
          <w:rFonts w:ascii="Times New Roman" w:hAnsi="Times New Roman" w:cs="Times New Roman"/>
          <w:b/>
          <w:color w:val="000000" w:themeColor="text1"/>
        </w:rPr>
      </w:pPr>
    </w:p>
    <w:p w:rsidR="004059FA" w:rsidRPr="00546852" w:rsidRDefault="00546852" w:rsidP="00B3352E">
      <w:pPr>
        <w:pStyle w:val="Sinespaciado"/>
        <w:jc w:val="both"/>
        <w:outlineLvl w:val="2"/>
        <w:rPr>
          <w:rFonts w:ascii="Times New Roman" w:hAnsi="Times New Roman" w:cs="Times New Roman"/>
          <w:b/>
          <w:color w:val="000000" w:themeColor="text1"/>
          <w:sz w:val="24"/>
        </w:rPr>
      </w:pPr>
      <w:bookmarkStart w:id="22" w:name="_Toc457550838"/>
      <w:r w:rsidRPr="00546852">
        <w:rPr>
          <w:rFonts w:ascii="Times New Roman" w:hAnsi="Times New Roman" w:cs="Times New Roman"/>
          <w:b/>
          <w:color w:val="000000" w:themeColor="text1"/>
          <w:sz w:val="24"/>
        </w:rPr>
        <w:t xml:space="preserve">3.5  </w:t>
      </w:r>
      <w:r w:rsidR="004059FA" w:rsidRPr="00546852">
        <w:rPr>
          <w:rFonts w:ascii="Times New Roman" w:hAnsi="Times New Roman" w:cs="Times New Roman"/>
          <w:b/>
          <w:color w:val="000000" w:themeColor="text1"/>
          <w:sz w:val="24"/>
        </w:rPr>
        <w:t>Grado de ejecución presupuestaria por debajo del promedio</w:t>
      </w:r>
      <w:bookmarkEnd w:id="22"/>
    </w:p>
    <w:p w:rsidR="004059FA" w:rsidRDefault="004059FA" w:rsidP="004059FA">
      <w:pPr>
        <w:pStyle w:val="Sinespaciado"/>
        <w:jc w:val="both"/>
        <w:rPr>
          <w:rFonts w:ascii="Times New Roman" w:hAnsi="Times New Roman" w:cs="Times New Roman"/>
          <w:color w:val="000000" w:themeColor="text1"/>
        </w:rPr>
      </w:pPr>
    </w:p>
    <w:p w:rsidR="004059FA" w:rsidRPr="00147E7A" w:rsidRDefault="004059FA" w:rsidP="004059FA">
      <w:pPr>
        <w:pStyle w:val="Sinespaciado"/>
        <w:jc w:val="both"/>
        <w:rPr>
          <w:rFonts w:ascii="Times New Roman" w:hAnsi="Times New Roman" w:cs="Times New Roman"/>
          <w:color w:val="000000" w:themeColor="text1"/>
          <w:sz w:val="24"/>
        </w:rPr>
      </w:pPr>
      <w:r w:rsidRPr="00147E7A">
        <w:rPr>
          <w:rFonts w:ascii="Times New Roman" w:hAnsi="Times New Roman" w:cs="Times New Roman"/>
          <w:color w:val="000000" w:themeColor="text1"/>
          <w:sz w:val="24"/>
        </w:rPr>
        <w:t xml:space="preserve">A nivel institucional el grado de ejecución presupuestaria de la Administración Central se ubicó, al cierre de junio de 2016 en 40.3%, nivel que se considera relativamente bajo con respecto al promedio observado en los últimos 10 años, cuyo indicador muestra un nivel de 41.3%.  Lo cual muestra que en términos presupuestarios la ejecución si bien esta baja no es muy diferente a lo realizado en años anteriores.   A nivel de cada entidad de gobierno se puede observar que la mayoría de instituciones muestran una ejecución que se ubica dentro de lo que podría denominarse su rango de normalidad, a excepción del Ministerio de Comunicaciones cuya baja ejecución no tiene precedente en los últimos 10 años, situación que se debe al bajo nivel de ejecución de préstamos externos y en cierto sentido a la incertidumbre del nivel de recaudación tributaria, aunque además prevalece algún problema en términos de adjudicaciones y contratación de obras. </w:t>
      </w:r>
    </w:p>
    <w:p w:rsidR="004059FA" w:rsidRPr="00147E7A" w:rsidRDefault="004059FA" w:rsidP="004059FA">
      <w:pPr>
        <w:pStyle w:val="Sinespaciado"/>
        <w:jc w:val="both"/>
        <w:rPr>
          <w:rFonts w:ascii="Times New Roman" w:hAnsi="Times New Roman" w:cs="Times New Roman"/>
          <w:color w:val="000000" w:themeColor="text1"/>
          <w:sz w:val="24"/>
        </w:rPr>
      </w:pPr>
    </w:p>
    <w:p w:rsidR="004059FA" w:rsidRPr="00147E7A" w:rsidRDefault="004059FA" w:rsidP="004059FA">
      <w:pPr>
        <w:pStyle w:val="Sinespaciado"/>
        <w:jc w:val="both"/>
        <w:rPr>
          <w:rFonts w:ascii="Times New Roman" w:hAnsi="Times New Roman" w:cs="Times New Roman"/>
          <w:color w:val="000000" w:themeColor="text1"/>
          <w:sz w:val="24"/>
        </w:rPr>
      </w:pPr>
      <w:r w:rsidRPr="00147E7A">
        <w:rPr>
          <w:rFonts w:ascii="Times New Roman" w:hAnsi="Times New Roman" w:cs="Times New Roman"/>
          <w:color w:val="000000" w:themeColor="text1"/>
          <w:sz w:val="24"/>
        </w:rPr>
        <w:t xml:space="preserve">El Ministerio de Desarrollo Social es otra institución cuya ejecución se encuentra muy por debajo de su promedio histórico, aunque dentro del rango normal, esta situación se debe en buena medida a la revisión que se hizo desde inicios de año en sus programas sociales </w:t>
      </w:r>
      <w:r w:rsidRPr="00147E7A">
        <w:rPr>
          <w:rFonts w:ascii="Times New Roman" w:hAnsi="Times New Roman" w:cs="Times New Roman"/>
          <w:color w:val="000000" w:themeColor="text1"/>
          <w:sz w:val="24"/>
        </w:rPr>
        <w:lastRenderedPageBreak/>
        <w:t>principalmente las bases de beneficiarios de la bolsa de alimentos y las transferencias condicionadas que a partir de junio se reinició el aportes a sus beneficiarios.</w:t>
      </w:r>
    </w:p>
    <w:p w:rsidR="004059FA" w:rsidRPr="00147E7A" w:rsidRDefault="004059FA" w:rsidP="004059FA">
      <w:pPr>
        <w:pStyle w:val="Sinespaciado"/>
        <w:jc w:val="both"/>
        <w:rPr>
          <w:rFonts w:ascii="Times New Roman" w:hAnsi="Times New Roman" w:cs="Times New Roman"/>
          <w:color w:val="000000" w:themeColor="text1"/>
          <w:sz w:val="24"/>
        </w:rPr>
      </w:pPr>
    </w:p>
    <w:p w:rsidR="004059FA" w:rsidRPr="00147E7A" w:rsidRDefault="004059FA" w:rsidP="004059FA">
      <w:pPr>
        <w:pStyle w:val="Sinespaciado"/>
        <w:jc w:val="both"/>
        <w:rPr>
          <w:rFonts w:ascii="Times New Roman" w:hAnsi="Times New Roman" w:cs="Times New Roman"/>
          <w:color w:val="000000" w:themeColor="text1"/>
          <w:sz w:val="24"/>
        </w:rPr>
      </w:pPr>
      <w:r w:rsidRPr="00147E7A">
        <w:rPr>
          <w:rFonts w:ascii="Times New Roman" w:hAnsi="Times New Roman" w:cs="Times New Roman"/>
          <w:color w:val="000000" w:themeColor="text1"/>
          <w:sz w:val="24"/>
        </w:rPr>
        <w:t>Por otro lado, hay entidades que están ejecutando por arriba de su promedio como es el caso de educación, trabajo, las secretarías y la PGN.</w:t>
      </w:r>
    </w:p>
    <w:p w:rsidR="004059FA" w:rsidRDefault="004059FA" w:rsidP="004059FA">
      <w:pPr>
        <w:pStyle w:val="Sinespaciado"/>
        <w:jc w:val="center"/>
        <w:rPr>
          <w:rFonts w:ascii="Times New Roman" w:hAnsi="Times New Roman" w:cs="Times New Roman"/>
          <w:b/>
          <w:color w:val="000000" w:themeColor="text1"/>
        </w:rPr>
      </w:pPr>
    </w:p>
    <w:p w:rsidR="004059FA" w:rsidRPr="00546852" w:rsidRDefault="004059FA" w:rsidP="004059FA">
      <w:pPr>
        <w:pStyle w:val="Sinespaciado"/>
        <w:jc w:val="center"/>
        <w:rPr>
          <w:rFonts w:ascii="Times New Roman" w:hAnsi="Times New Roman" w:cs="Times New Roman"/>
          <w:b/>
          <w:color w:val="000000" w:themeColor="text1"/>
          <w:sz w:val="24"/>
        </w:rPr>
      </w:pPr>
      <w:r w:rsidRPr="00546852">
        <w:rPr>
          <w:rFonts w:ascii="Times New Roman" w:hAnsi="Times New Roman" w:cs="Times New Roman"/>
          <w:b/>
          <w:color w:val="000000" w:themeColor="text1"/>
          <w:sz w:val="24"/>
        </w:rPr>
        <w:t>Grado de Ejecución Presupuestaria Institucional</w:t>
      </w:r>
    </w:p>
    <w:p w:rsidR="004059FA" w:rsidRDefault="004059FA" w:rsidP="004059FA">
      <w:pPr>
        <w:pStyle w:val="Sinespaciado"/>
        <w:jc w:val="center"/>
        <w:rPr>
          <w:rFonts w:ascii="Times New Roman" w:hAnsi="Times New Roman" w:cs="Times New Roman"/>
          <w:color w:val="000000" w:themeColor="text1"/>
        </w:rPr>
      </w:pPr>
      <w:r>
        <w:rPr>
          <w:rFonts w:ascii="Times New Roman" w:hAnsi="Times New Roman" w:cs="Times New Roman"/>
          <w:color w:val="000000" w:themeColor="text1"/>
        </w:rPr>
        <w:t>Porcentajes</w:t>
      </w:r>
    </w:p>
    <w:p w:rsidR="004059FA" w:rsidRDefault="004059FA" w:rsidP="004059FA">
      <w:pPr>
        <w:pStyle w:val="Sinespaciado"/>
        <w:jc w:val="both"/>
        <w:rPr>
          <w:rFonts w:ascii="Times New Roman" w:hAnsi="Times New Roman" w:cs="Times New Roman"/>
          <w:color w:val="000000" w:themeColor="text1"/>
        </w:rPr>
      </w:pPr>
      <w:r>
        <w:rPr>
          <w:noProof/>
          <w:lang w:eastAsia="es-GT"/>
        </w:rPr>
        <w:drawing>
          <wp:anchor distT="0" distB="0" distL="114300" distR="114300" simplePos="0" relativeHeight="251660288" behindDoc="0" locked="0" layoutInCell="1" allowOverlap="1" wp14:anchorId="7C2BF8B3" wp14:editId="3DF0DB1F">
            <wp:simplePos x="0" y="0"/>
            <wp:positionH relativeFrom="column">
              <wp:posOffset>323850</wp:posOffset>
            </wp:positionH>
            <wp:positionV relativeFrom="paragraph">
              <wp:posOffset>28575</wp:posOffset>
            </wp:positionV>
            <wp:extent cx="5077460" cy="3203575"/>
            <wp:effectExtent l="0" t="0" r="889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77460" cy="3203575"/>
                    </a:xfrm>
                    <a:prstGeom prst="rect">
                      <a:avLst/>
                    </a:prstGeom>
                    <a:noFill/>
                  </pic:spPr>
                </pic:pic>
              </a:graphicData>
            </a:graphic>
            <wp14:sizeRelH relativeFrom="page">
              <wp14:pctWidth>0</wp14:pctWidth>
            </wp14:sizeRelH>
            <wp14:sizeRelV relativeFrom="page">
              <wp14:pctHeight>0</wp14:pctHeight>
            </wp14:sizeRelV>
          </wp:anchor>
        </w:drawing>
      </w:r>
    </w:p>
    <w:p w:rsidR="004059FA" w:rsidRDefault="004059FA" w:rsidP="004059FA">
      <w:pPr>
        <w:pStyle w:val="Sinespaciado"/>
        <w:ind w:firstLine="708"/>
        <w:jc w:val="both"/>
        <w:rPr>
          <w:rFonts w:ascii="Times New Roman" w:hAnsi="Times New Roman" w:cs="Times New Roman"/>
          <w:sz w:val="16"/>
        </w:rPr>
      </w:pPr>
      <w:r>
        <w:rPr>
          <w:rFonts w:ascii="Times New Roman" w:hAnsi="Times New Roman" w:cs="Times New Roman"/>
          <w:sz w:val="16"/>
        </w:rPr>
        <w:t>Fuente: Dirección de Análisis y Política fiscal</w:t>
      </w:r>
    </w:p>
    <w:p w:rsidR="004059FA" w:rsidRDefault="004059FA" w:rsidP="004059FA">
      <w:pPr>
        <w:pStyle w:val="Sinespaciado"/>
        <w:rPr>
          <w:rFonts w:ascii="Times New Roman" w:hAnsi="Times New Roman" w:cs="Times New Roman"/>
          <w:b/>
          <w:color w:val="000000" w:themeColor="text1"/>
        </w:rPr>
      </w:pPr>
    </w:p>
    <w:p w:rsidR="00546852" w:rsidRPr="00C74697" w:rsidRDefault="00546852" w:rsidP="00546852">
      <w:pPr>
        <w:jc w:val="right"/>
        <w:rPr>
          <w:rFonts w:ascii="Times New Roman" w:hAnsi="Times New Roman" w:cs="Times New Roman"/>
          <w:color w:val="1F497D" w:themeColor="text2"/>
        </w:rPr>
      </w:pPr>
    </w:p>
    <w:p w:rsidR="00546852" w:rsidRPr="006A2E1A" w:rsidRDefault="00546852" w:rsidP="006A2E1A">
      <w:pPr>
        <w:pStyle w:val="Prrafodelista"/>
        <w:numPr>
          <w:ilvl w:val="0"/>
          <w:numId w:val="25"/>
        </w:numPr>
        <w:pBdr>
          <w:top w:val="single" w:sz="4" w:space="1" w:color="auto"/>
          <w:bottom w:val="single" w:sz="4" w:space="1" w:color="auto"/>
        </w:pBdr>
        <w:shd w:val="clear" w:color="auto" w:fill="2F8C99"/>
        <w:ind w:left="709" w:hanging="709"/>
        <w:jc w:val="both"/>
        <w:outlineLvl w:val="0"/>
        <w:rPr>
          <w:rFonts w:ascii="Times New Roman" w:hAnsi="Times New Roman" w:cs="Times New Roman"/>
          <w:b/>
          <w:color w:val="FFFFFF" w:themeColor="background1"/>
          <w:sz w:val="32"/>
          <w:lang w:val="es-MX"/>
        </w:rPr>
      </w:pPr>
      <w:bookmarkStart w:id="23" w:name="_Toc457550839"/>
      <w:r w:rsidRPr="006A2E1A">
        <w:rPr>
          <w:rFonts w:ascii="Times New Roman" w:hAnsi="Times New Roman" w:cs="Times New Roman"/>
          <w:b/>
          <w:color w:val="FFFFFF" w:themeColor="background1"/>
          <w:sz w:val="32"/>
          <w:lang w:val="es-MX"/>
        </w:rPr>
        <w:t>Financiamiento del gasto</w:t>
      </w:r>
      <w:bookmarkEnd w:id="23"/>
    </w:p>
    <w:p w:rsidR="00546852" w:rsidRDefault="00546852" w:rsidP="00546852">
      <w:pPr>
        <w:pStyle w:val="Ttulo1"/>
        <w:spacing w:before="0" w:line="240" w:lineRule="auto"/>
        <w:rPr>
          <w:rFonts w:ascii="Times New Roman" w:hAnsi="Times New Roman" w:cs="Times New Roman"/>
          <w:color w:val="auto"/>
        </w:rPr>
      </w:pPr>
    </w:p>
    <w:p w:rsidR="004059FA" w:rsidRDefault="00546852" w:rsidP="00B3352E">
      <w:pPr>
        <w:pStyle w:val="Sinespaciado"/>
        <w:outlineLvl w:val="1"/>
        <w:rPr>
          <w:rFonts w:ascii="Times New Roman" w:hAnsi="Times New Roman" w:cs="Times New Roman"/>
          <w:b/>
          <w:color w:val="000000" w:themeColor="text1"/>
        </w:rPr>
      </w:pPr>
      <w:bookmarkStart w:id="24" w:name="_Toc457550840"/>
      <w:r>
        <w:rPr>
          <w:rFonts w:ascii="Times New Roman" w:hAnsi="Times New Roman" w:cs="Times New Roman"/>
          <w:b/>
          <w:color w:val="000000" w:themeColor="text1"/>
        </w:rPr>
        <w:t xml:space="preserve">5.1  </w:t>
      </w:r>
      <w:r w:rsidR="004059FA">
        <w:rPr>
          <w:rFonts w:ascii="Times New Roman" w:hAnsi="Times New Roman" w:cs="Times New Roman"/>
          <w:b/>
          <w:color w:val="000000" w:themeColor="text1"/>
        </w:rPr>
        <w:t>Los Bonos del Tesoro se constituyen en la segunda fuente de financiamiento más importante después de la recaudación tributaria</w:t>
      </w:r>
      <w:bookmarkEnd w:id="24"/>
    </w:p>
    <w:p w:rsidR="004059FA" w:rsidRDefault="004059FA" w:rsidP="004059FA">
      <w:pPr>
        <w:pStyle w:val="Sinespaciado"/>
        <w:rPr>
          <w:rFonts w:ascii="Times New Roman" w:hAnsi="Times New Roman" w:cs="Times New Roman"/>
          <w:color w:val="000000" w:themeColor="text1"/>
        </w:rPr>
      </w:pPr>
    </w:p>
    <w:p w:rsidR="004059FA" w:rsidRPr="00B3352E" w:rsidRDefault="004059FA" w:rsidP="004059FA">
      <w:pPr>
        <w:pStyle w:val="Sinespaciado"/>
        <w:jc w:val="both"/>
        <w:rPr>
          <w:rFonts w:ascii="Times New Roman" w:hAnsi="Times New Roman" w:cs="Times New Roman"/>
          <w:color w:val="000000" w:themeColor="text1"/>
          <w:sz w:val="24"/>
        </w:rPr>
      </w:pPr>
      <w:r w:rsidRPr="00B3352E">
        <w:rPr>
          <w:rFonts w:ascii="Times New Roman" w:hAnsi="Times New Roman" w:cs="Times New Roman"/>
          <w:color w:val="000000" w:themeColor="text1"/>
          <w:sz w:val="24"/>
        </w:rPr>
        <w:t>Derivado que los ingresos fiscales mostraron un crecimiento relativamente aceptable, especialmente los de origen tributario y que el gasto público mostró un crecimiento negativo en su ejecución originado en parte por la política de contención de gasto aplicada en el primer cuatrimestre del año, el resultado fiscal, al 30 de junio de 2016, se ubicó en un superávit de Q</w:t>
      </w:r>
      <w:r w:rsidR="00B3352E"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460.9 millones.  Dicho resultado contrasta con lo observado en los últimos 3 años, en donde a esta fecha, se observaban déficit que superaban los Q</w:t>
      </w:r>
      <w:r w:rsidR="00B3352E"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 xml:space="preserve">2,000 millones y solo en 2012 en donde se obtuvo igualmente un superávit fiscal, que igualmente fue </w:t>
      </w:r>
      <w:r w:rsidRPr="00B3352E">
        <w:rPr>
          <w:rFonts w:ascii="Times New Roman" w:hAnsi="Times New Roman" w:cs="Times New Roman"/>
          <w:color w:val="000000" w:themeColor="text1"/>
          <w:sz w:val="24"/>
        </w:rPr>
        <w:lastRenderedPageBreak/>
        <w:t>acompañado de una política de contención derivado de la incertidumbre que había con la recaudación tributaria. (</w:t>
      </w:r>
      <w:r w:rsidR="00B3352E" w:rsidRPr="00B3352E">
        <w:rPr>
          <w:rFonts w:ascii="Times New Roman" w:hAnsi="Times New Roman" w:cs="Times New Roman"/>
          <w:color w:val="000000" w:themeColor="text1"/>
          <w:sz w:val="24"/>
        </w:rPr>
        <w:t>Ver</w:t>
      </w:r>
      <w:r w:rsidRPr="00B3352E">
        <w:rPr>
          <w:rFonts w:ascii="Times New Roman" w:hAnsi="Times New Roman" w:cs="Times New Roman"/>
          <w:color w:val="000000" w:themeColor="text1"/>
          <w:sz w:val="24"/>
        </w:rPr>
        <w:t xml:space="preserve"> anexo 2)</w:t>
      </w:r>
    </w:p>
    <w:p w:rsidR="004059FA" w:rsidRPr="00B3352E" w:rsidRDefault="004059FA" w:rsidP="004059FA">
      <w:pPr>
        <w:pStyle w:val="Sinespaciado"/>
        <w:rPr>
          <w:rFonts w:ascii="Times New Roman" w:hAnsi="Times New Roman" w:cs="Times New Roman"/>
          <w:color w:val="000000" w:themeColor="text1"/>
          <w:sz w:val="24"/>
        </w:rPr>
      </w:pPr>
    </w:p>
    <w:p w:rsidR="004059FA" w:rsidRPr="00B3352E" w:rsidRDefault="004059FA" w:rsidP="004059FA">
      <w:pPr>
        <w:pStyle w:val="Sinespaciado"/>
        <w:jc w:val="both"/>
        <w:rPr>
          <w:rFonts w:ascii="Times New Roman" w:hAnsi="Times New Roman" w:cs="Times New Roman"/>
          <w:color w:val="000000" w:themeColor="text1"/>
          <w:sz w:val="24"/>
        </w:rPr>
      </w:pPr>
      <w:r w:rsidRPr="00B3352E">
        <w:rPr>
          <w:rFonts w:ascii="Times New Roman" w:hAnsi="Times New Roman" w:cs="Times New Roman"/>
          <w:color w:val="000000" w:themeColor="text1"/>
          <w:sz w:val="24"/>
        </w:rPr>
        <w:t>Es importante tomar en cuenta que si se tuviera la certeza en cuanto a la capacidad de percibir el nivel de recaudación que se estimó en el presupuesto, así como de las otras fuentes de financiamiento que se programaron especialmente de préstamos externos, y que las entidades públicas estuvieran operando plenamente de acuerdo a sus capacidades, sin que sea necesario adoptar una política de contención de gasto, el resultado fiscal, siguiendo entonces el comportamiento estacional de ingresos y gastos, se hubiera ubicado en un déficit de Q</w:t>
      </w:r>
      <w:r w:rsidR="00B3352E"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3,590.0 millones.</w:t>
      </w:r>
    </w:p>
    <w:p w:rsidR="004059FA" w:rsidRDefault="004059FA" w:rsidP="004059FA">
      <w:pPr>
        <w:pStyle w:val="Sinespaciado"/>
        <w:jc w:val="both"/>
        <w:rPr>
          <w:rFonts w:ascii="Times New Roman" w:hAnsi="Times New Roman" w:cs="Times New Roman"/>
          <w:color w:val="000000" w:themeColor="text1"/>
        </w:rPr>
      </w:pPr>
    </w:p>
    <w:p w:rsidR="004059FA" w:rsidRPr="00546852" w:rsidRDefault="004059FA" w:rsidP="004059FA">
      <w:pPr>
        <w:pStyle w:val="Sinespaciado"/>
        <w:jc w:val="center"/>
        <w:rPr>
          <w:rFonts w:ascii="Times New Roman" w:hAnsi="Times New Roman" w:cs="Times New Roman"/>
          <w:b/>
          <w:color w:val="000000" w:themeColor="text1"/>
          <w:sz w:val="24"/>
        </w:rPr>
      </w:pPr>
      <w:r w:rsidRPr="00546852">
        <w:rPr>
          <w:rFonts w:ascii="Times New Roman" w:hAnsi="Times New Roman" w:cs="Times New Roman"/>
          <w:b/>
          <w:color w:val="000000" w:themeColor="text1"/>
          <w:sz w:val="24"/>
        </w:rPr>
        <w:t>Resultado Fiscal de la Administración Central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467"/>
      </w:tblGrid>
      <w:tr w:rsidR="004059FA" w:rsidTr="004059FA">
        <w:tc>
          <w:tcPr>
            <w:tcW w:w="4582" w:type="dxa"/>
            <w:hideMark/>
          </w:tcPr>
          <w:p w:rsidR="004059FA" w:rsidRDefault="004059FA">
            <w:pPr>
              <w:pStyle w:val="Sinespaciado"/>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Al 30 de junio de cada año</w:t>
            </w:r>
          </w:p>
        </w:tc>
        <w:tc>
          <w:tcPr>
            <w:tcW w:w="4472" w:type="dxa"/>
            <w:hideMark/>
          </w:tcPr>
          <w:p w:rsidR="004059FA" w:rsidRDefault="004059FA">
            <w:pPr>
              <w:pStyle w:val="Sinespaciado"/>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Presupuesto y estimación del resultado fiscal 2016</w:t>
            </w:r>
          </w:p>
        </w:tc>
      </w:tr>
      <w:tr w:rsidR="004059FA" w:rsidTr="004059FA">
        <w:tc>
          <w:tcPr>
            <w:tcW w:w="4582" w:type="dxa"/>
            <w:tcMar>
              <w:top w:w="0" w:type="dxa"/>
              <w:left w:w="70" w:type="dxa"/>
              <w:bottom w:w="0" w:type="dxa"/>
              <w:right w:w="70" w:type="dxa"/>
            </w:tcMar>
            <w:hideMark/>
          </w:tcPr>
          <w:p w:rsidR="004059FA" w:rsidRDefault="004059FA">
            <w:pPr>
              <w:pStyle w:val="Sinespaciado"/>
              <w:jc w:val="both"/>
              <w:rPr>
                <w:rFonts w:ascii="Times New Roman" w:hAnsi="Times New Roman" w:cs="Times New Roman"/>
                <w:color w:val="000000" w:themeColor="text1"/>
              </w:rPr>
            </w:pPr>
            <w:r>
              <w:rPr>
                <w:rFonts w:ascii="Times New Roman" w:hAnsi="Times New Roman" w:cs="Times New Roman"/>
                <w:noProof/>
                <w:color w:val="000000" w:themeColor="text1"/>
                <w:lang w:eastAsia="es-GT"/>
              </w:rPr>
              <w:drawing>
                <wp:inline distT="0" distB="0" distL="0" distR="0" wp14:anchorId="5C1303E9" wp14:editId="6089DEB4">
                  <wp:extent cx="2829560" cy="1932305"/>
                  <wp:effectExtent l="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9560" cy="1932305"/>
                          </a:xfrm>
                          <a:prstGeom prst="rect">
                            <a:avLst/>
                          </a:prstGeom>
                          <a:noFill/>
                          <a:ln>
                            <a:noFill/>
                          </a:ln>
                        </pic:spPr>
                      </pic:pic>
                    </a:graphicData>
                  </a:graphic>
                </wp:inline>
              </w:drawing>
            </w:r>
          </w:p>
        </w:tc>
        <w:tc>
          <w:tcPr>
            <w:tcW w:w="4472" w:type="dxa"/>
            <w:tcMar>
              <w:top w:w="0" w:type="dxa"/>
              <w:left w:w="70" w:type="dxa"/>
              <w:bottom w:w="0" w:type="dxa"/>
              <w:right w:w="70" w:type="dxa"/>
            </w:tcMar>
            <w:hideMark/>
          </w:tcPr>
          <w:p w:rsidR="004059FA" w:rsidRDefault="004059FA">
            <w:pPr>
              <w:pStyle w:val="Sinespaciado"/>
              <w:jc w:val="both"/>
              <w:rPr>
                <w:rFonts w:ascii="Times New Roman" w:hAnsi="Times New Roman" w:cs="Times New Roman"/>
                <w:color w:val="000000" w:themeColor="text1"/>
              </w:rPr>
            </w:pPr>
            <w:r>
              <w:rPr>
                <w:rFonts w:ascii="Times New Roman" w:hAnsi="Times New Roman" w:cs="Times New Roman"/>
                <w:noProof/>
                <w:color w:val="000000" w:themeColor="text1"/>
                <w:lang w:eastAsia="es-GT"/>
              </w:rPr>
              <w:drawing>
                <wp:inline distT="0" distB="0" distL="0" distR="0" wp14:anchorId="24319029" wp14:editId="1C743689">
                  <wp:extent cx="2760345" cy="1906270"/>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0345" cy="1906270"/>
                          </a:xfrm>
                          <a:prstGeom prst="rect">
                            <a:avLst/>
                          </a:prstGeom>
                          <a:noFill/>
                          <a:ln>
                            <a:noFill/>
                          </a:ln>
                        </pic:spPr>
                      </pic:pic>
                    </a:graphicData>
                  </a:graphic>
                </wp:inline>
              </w:drawing>
            </w:r>
          </w:p>
        </w:tc>
      </w:tr>
    </w:tbl>
    <w:p w:rsidR="004059FA" w:rsidRDefault="004059FA" w:rsidP="004059FA">
      <w:pPr>
        <w:pStyle w:val="Sinespaciado"/>
        <w:jc w:val="both"/>
        <w:rPr>
          <w:rFonts w:ascii="Times New Roman" w:hAnsi="Times New Roman" w:cs="Times New Roman"/>
          <w:sz w:val="16"/>
        </w:rPr>
      </w:pPr>
      <w:r>
        <w:rPr>
          <w:rFonts w:ascii="Times New Roman" w:hAnsi="Times New Roman" w:cs="Times New Roman"/>
          <w:sz w:val="16"/>
        </w:rPr>
        <w:t>Fuente: Dirección de Análisis y Política fiscal</w:t>
      </w:r>
    </w:p>
    <w:p w:rsidR="004059FA" w:rsidRDefault="004059FA" w:rsidP="004059FA">
      <w:pPr>
        <w:pStyle w:val="Sinespaciado"/>
        <w:jc w:val="both"/>
        <w:rPr>
          <w:rFonts w:ascii="Times New Roman" w:hAnsi="Times New Roman" w:cs="Times New Roman"/>
          <w:color w:val="000000" w:themeColor="text1"/>
        </w:rPr>
      </w:pPr>
    </w:p>
    <w:p w:rsidR="004059FA" w:rsidRPr="00B3352E" w:rsidRDefault="004059FA" w:rsidP="004059FA">
      <w:pPr>
        <w:pStyle w:val="Sinespaciado"/>
        <w:jc w:val="both"/>
        <w:rPr>
          <w:rFonts w:ascii="Times New Roman" w:hAnsi="Times New Roman" w:cs="Times New Roman"/>
          <w:color w:val="000000" w:themeColor="text1"/>
          <w:sz w:val="24"/>
        </w:rPr>
      </w:pPr>
      <w:r w:rsidRPr="00B3352E">
        <w:rPr>
          <w:rFonts w:ascii="Times New Roman" w:hAnsi="Times New Roman" w:cs="Times New Roman"/>
          <w:color w:val="000000" w:themeColor="text1"/>
          <w:sz w:val="24"/>
        </w:rPr>
        <w:t>El financiamiento del déficit fiscal presupuestario, se ha dado principalmente a través de los recursos de la colocación de Bonos del Tesoro en el mercado interno así como en el mercado internacional de capitales (Eurobonos), en cuando a los desembolsos de préstamos externos estos han sido muy limitados principalmente porque en este año no se programaron desembolsos de  apoyo presupuestario con los organismos financieros multilaterales, como sucedió en los últimos años.</w:t>
      </w:r>
    </w:p>
    <w:p w:rsidR="004059FA" w:rsidRPr="00B3352E" w:rsidRDefault="004059FA" w:rsidP="004059FA">
      <w:pPr>
        <w:pStyle w:val="Sinespaciado"/>
        <w:jc w:val="both"/>
        <w:rPr>
          <w:rFonts w:ascii="Times New Roman" w:hAnsi="Times New Roman" w:cs="Times New Roman"/>
          <w:color w:val="000000" w:themeColor="text1"/>
          <w:sz w:val="24"/>
        </w:rPr>
      </w:pPr>
    </w:p>
    <w:p w:rsidR="004059FA" w:rsidRPr="00B3352E" w:rsidRDefault="004059FA" w:rsidP="004059FA">
      <w:pPr>
        <w:pStyle w:val="Sinespaciado"/>
        <w:jc w:val="both"/>
        <w:rPr>
          <w:rFonts w:ascii="Times New Roman" w:hAnsi="Times New Roman" w:cs="Times New Roman"/>
          <w:color w:val="000000" w:themeColor="text1"/>
          <w:sz w:val="24"/>
        </w:rPr>
      </w:pPr>
      <w:r w:rsidRPr="00B3352E">
        <w:rPr>
          <w:rFonts w:ascii="Times New Roman" w:hAnsi="Times New Roman" w:cs="Times New Roman"/>
          <w:color w:val="000000" w:themeColor="text1"/>
          <w:sz w:val="24"/>
        </w:rPr>
        <w:t>El monto autorizado por el Congreso de la República para la emisión de Bonos del Tesoro para el financiamiento del presupuesto de este año fue de Q</w:t>
      </w:r>
      <w:r w:rsidR="006A2E1A"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9,426.5 millones, monto que no considera el roll over de los vencimientos de los títulos que vencen en este ejercicio fiscal (Q</w:t>
      </w:r>
      <w:r w:rsidR="006A2E1A"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5,534.4 millones), por lo que espacio para colocar este año incluyendo el referido roll over asciende a Q</w:t>
      </w:r>
      <w:r w:rsidR="006A2E1A"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14,960.9 millones.   De los cuales, se han colocado a la fecha Q</w:t>
      </w:r>
      <w:r w:rsidR="00B3352E"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10,836.4 millones, de estos recursos</w:t>
      </w:r>
      <w:r w:rsid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Q</w:t>
      </w:r>
      <w:r w:rsidR="006A2E1A"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5,407.9 millones, provienen de la emisión de un eurobono (US$</w:t>
      </w:r>
      <w:r w:rsidR="00B3352E"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700 millones) que se colocaron en mayo de este año en condiciones bastante favorables, cuya demanda fue de US$</w:t>
      </w:r>
      <w:r w:rsidR="00B3352E"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3,000 millones a un plazo de 10 años con una tasa cupón de 4.5% a un precio de 99.206.   Asimismo, se han realizado colocaciones en el mercado doméstico en moneda nacional por un monto de Q</w:t>
      </w:r>
      <w:r w:rsidR="00B3352E"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 xml:space="preserve">5,428.5 millones, las cuales la mayor se ha realizado colocado a un plazo de 15 años y a un rendimiento promedio de </w:t>
      </w:r>
      <w:r w:rsidRPr="00B3352E">
        <w:rPr>
          <w:rFonts w:ascii="Times New Roman" w:hAnsi="Times New Roman" w:cs="Times New Roman"/>
          <w:color w:val="000000" w:themeColor="text1"/>
          <w:sz w:val="24"/>
        </w:rPr>
        <w:lastRenderedPageBreak/>
        <w:t>7.3%.  El monto pendiente de colocar de Bonos del Tesoro para el resto del año es de Q</w:t>
      </w:r>
      <w:r w:rsidR="00B3352E"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 xml:space="preserve">4,214.6 millones, la totalidad de estos títulos se estiman efectuar en el mercado interno en quetzales.  Asimismo, es importante mencionar que una parte importante de esta colocación se espera realizar a plazos de 7 y 8 años tomando en cuenta que en esos años es bajo el monto de los vencimientos de estos títulos. </w:t>
      </w:r>
    </w:p>
    <w:p w:rsidR="00546852" w:rsidRDefault="00546852" w:rsidP="004059FA">
      <w:pPr>
        <w:pStyle w:val="Sinespaciado"/>
        <w:jc w:val="both"/>
        <w:rPr>
          <w:rFonts w:ascii="Times New Roman" w:hAnsi="Times New Roman" w:cs="Times New Roman"/>
          <w:color w:val="000000" w:themeColor="text1"/>
        </w:rPr>
      </w:pPr>
    </w:p>
    <w:p w:rsidR="004059FA" w:rsidRPr="00546852" w:rsidRDefault="004059FA" w:rsidP="004059FA">
      <w:pPr>
        <w:pStyle w:val="Sinespaciado"/>
        <w:jc w:val="center"/>
        <w:rPr>
          <w:rFonts w:ascii="Times New Roman" w:hAnsi="Times New Roman" w:cs="Times New Roman"/>
          <w:b/>
          <w:color w:val="000000" w:themeColor="text1"/>
          <w:sz w:val="24"/>
        </w:rPr>
      </w:pPr>
      <w:r w:rsidRPr="00546852">
        <w:rPr>
          <w:rFonts w:ascii="Times New Roman" w:hAnsi="Times New Roman" w:cs="Times New Roman"/>
          <w:b/>
          <w:color w:val="000000" w:themeColor="text1"/>
          <w:sz w:val="24"/>
        </w:rPr>
        <w:t>Colocación de Bonos del Tesoro</w:t>
      </w:r>
    </w:p>
    <w:p w:rsidR="004059FA" w:rsidRDefault="004059FA" w:rsidP="004059FA">
      <w:pPr>
        <w:pStyle w:val="Sinespaciado"/>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Al 30 de Junio 2016</w:t>
      </w:r>
    </w:p>
    <w:p w:rsidR="004059FA" w:rsidRDefault="004059FA" w:rsidP="004059FA">
      <w:pPr>
        <w:pStyle w:val="Sinespaciado"/>
        <w:jc w:val="both"/>
        <w:rPr>
          <w:rFonts w:ascii="Times New Roman" w:hAnsi="Times New Roman" w:cs="Times New Roman"/>
          <w:color w:val="000000" w:themeColor="text1"/>
        </w:rPr>
      </w:pPr>
      <w:r>
        <w:rPr>
          <w:noProof/>
          <w:lang w:eastAsia="es-GT"/>
        </w:rPr>
        <w:drawing>
          <wp:anchor distT="0" distB="0" distL="114300" distR="114300" simplePos="0" relativeHeight="251658240" behindDoc="1" locked="0" layoutInCell="1" allowOverlap="1" wp14:anchorId="315CDDBE" wp14:editId="52B38FCC">
            <wp:simplePos x="0" y="0"/>
            <wp:positionH relativeFrom="column">
              <wp:posOffset>1209040</wp:posOffset>
            </wp:positionH>
            <wp:positionV relativeFrom="paragraph">
              <wp:posOffset>46990</wp:posOffset>
            </wp:positionV>
            <wp:extent cx="3101340" cy="2002155"/>
            <wp:effectExtent l="0" t="0" r="3810" b="0"/>
            <wp:wrapTight wrapText="bothSides">
              <wp:wrapPolygon edited="0">
                <wp:start x="0" y="0"/>
                <wp:lineTo x="0" y="21374"/>
                <wp:lineTo x="21494" y="21374"/>
                <wp:lineTo x="21494"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01340" cy="2002155"/>
                    </a:xfrm>
                    <a:prstGeom prst="rect">
                      <a:avLst/>
                    </a:prstGeom>
                    <a:noFill/>
                  </pic:spPr>
                </pic:pic>
              </a:graphicData>
            </a:graphic>
            <wp14:sizeRelH relativeFrom="page">
              <wp14:pctWidth>0</wp14:pctWidth>
            </wp14:sizeRelH>
            <wp14:sizeRelV relativeFrom="page">
              <wp14:pctHeight>0</wp14:pctHeight>
            </wp14:sizeRelV>
          </wp:anchor>
        </w:drawing>
      </w:r>
    </w:p>
    <w:p w:rsidR="004059FA" w:rsidRDefault="004059FA"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B3352E" w:rsidRDefault="00B3352E"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B3352E" w:rsidRDefault="00B3352E" w:rsidP="00B3352E">
      <w:pPr>
        <w:pStyle w:val="Sinespaciado"/>
        <w:ind w:left="2124" w:firstLine="708"/>
        <w:jc w:val="both"/>
        <w:rPr>
          <w:rFonts w:ascii="Times New Roman" w:hAnsi="Times New Roman" w:cs="Times New Roman"/>
          <w:sz w:val="16"/>
        </w:rPr>
      </w:pPr>
      <w:r>
        <w:rPr>
          <w:rFonts w:ascii="Times New Roman" w:hAnsi="Times New Roman" w:cs="Times New Roman"/>
          <w:sz w:val="16"/>
        </w:rPr>
        <w:t>Fuente: Dirección de Análisis y Política fiscal</w:t>
      </w:r>
    </w:p>
    <w:p w:rsidR="00B3352E" w:rsidRDefault="00B3352E" w:rsidP="004059FA">
      <w:pPr>
        <w:pStyle w:val="Sinespaciado"/>
        <w:jc w:val="both"/>
        <w:rPr>
          <w:rFonts w:ascii="Times New Roman" w:hAnsi="Times New Roman" w:cs="Times New Roman"/>
          <w:color w:val="000000" w:themeColor="text1"/>
        </w:rPr>
      </w:pPr>
    </w:p>
    <w:p w:rsidR="004059FA" w:rsidRDefault="004059FA" w:rsidP="004059FA">
      <w:pPr>
        <w:pStyle w:val="Sinespaciado"/>
        <w:jc w:val="both"/>
        <w:rPr>
          <w:rFonts w:ascii="Times New Roman" w:hAnsi="Times New Roman" w:cs="Times New Roman"/>
          <w:color w:val="000000" w:themeColor="text1"/>
        </w:rPr>
      </w:pPr>
    </w:p>
    <w:p w:rsidR="004059FA" w:rsidRPr="00B3352E" w:rsidRDefault="004059FA" w:rsidP="004059FA">
      <w:pPr>
        <w:pStyle w:val="Sinespaciado"/>
        <w:jc w:val="both"/>
        <w:rPr>
          <w:rFonts w:ascii="Times New Roman" w:hAnsi="Times New Roman" w:cs="Times New Roman"/>
          <w:color w:val="000000" w:themeColor="text1"/>
          <w:sz w:val="24"/>
        </w:rPr>
      </w:pPr>
      <w:r w:rsidRPr="00B3352E">
        <w:rPr>
          <w:rFonts w:ascii="Times New Roman" w:hAnsi="Times New Roman" w:cs="Times New Roman"/>
          <w:color w:val="000000" w:themeColor="text1"/>
          <w:sz w:val="24"/>
        </w:rPr>
        <w:t>Por su parte, los desembolsos de préstamos externos se sitúan al 30 de junio de 2016 en Q</w:t>
      </w:r>
      <w:r w:rsidR="00B3352E" w:rsidRPr="00B3352E">
        <w:rPr>
          <w:rFonts w:ascii="Times New Roman" w:hAnsi="Times New Roman" w:cs="Times New Roman"/>
          <w:color w:val="000000" w:themeColor="text1"/>
          <w:sz w:val="24"/>
        </w:rPr>
        <w:t xml:space="preserve"> </w:t>
      </w:r>
      <w:r w:rsidRPr="00B3352E">
        <w:rPr>
          <w:rFonts w:ascii="Times New Roman" w:hAnsi="Times New Roman" w:cs="Times New Roman"/>
          <w:color w:val="000000" w:themeColor="text1"/>
          <w:sz w:val="24"/>
        </w:rPr>
        <w:t>191.9 millones, representando el 6.3% del presupuesto asignado para este año, la totalidad de los desembolsos programados y ejecutados no considera de apoyo presupuestario, es decir, todos los préstamos financian proyectos específicos en materia social o de infraestructura productiva. (</w:t>
      </w:r>
      <w:r w:rsidR="00B3352E" w:rsidRPr="00B3352E">
        <w:rPr>
          <w:rFonts w:ascii="Times New Roman" w:hAnsi="Times New Roman" w:cs="Times New Roman"/>
          <w:color w:val="000000" w:themeColor="text1"/>
          <w:sz w:val="24"/>
        </w:rPr>
        <w:t>Ver</w:t>
      </w:r>
      <w:r w:rsidRPr="00B3352E">
        <w:rPr>
          <w:rFonts w:ascii="Times New Roman" w:hAnsi="Times New Roman" w:cs="Times New Roman"/>
          <w:color w:val="000000" w:themeColor="text1"/>
          <w:sz w:val="24"/>
        </w:rPr>
        <w:t xml:space="preserve"> anexo 3)</w:t>
      </w:r>
    </w:p>
    <w:p w:rsidR="004059FA" w:rsidRPr="00B3352E" w:rsidRDefault="004059FA" w:rsidP="004059FA">
      <w:pPr>
        <w:pStyle w:val="Sinespaciado"/>
        <w:jc w:val="both"/>
        <w:rPr>
          <w:rFonts w:ascii="Times New Roman" w:hAnsi="Times New Roman" w:cs="Times New Roman"/>
          <w:color w:val="000000" w:themeColor="text1"/>
          <w:sz w:val="24"/>
        </w:rPr>
      </w:pPr>
    </w:p>
    <w:p w:rsidR="004059FA" w:rsidRPr="00B3352E" w:rsidRDefault="004059FA" w:rsidP="004059FA">
      <w:pPr>
        <w:pStyle w:val="Sinespaciado"/>
        <w:jc w:val="both"/>
        <w:rPr>
          <w:rFonts w:ascii="Times New Roman" w:hAnsi="Times New Roman" w:cs="Times New Roman"/>
          <w:color w:val="000000" w:themeColor="text1"/>
          <w:sz w:val="24"/>
        </w:rPr>
      </w:pPr>
      <w:r w:rsidRPr="00B3352E">
        <w:rPr>
          <w:rFonts w:ascii="Times New Roman" w:hAnsi="Times New Roman" w:cs="Times New Roman"/>
          <w:color w:val="000000" w:themeColor="text1"/>
          <w:sz w:val="24"/>
        </w:rPr>
        <w:t>De esa cuenta, el financiamiento externo neto es negativo en lo que va del año, debido a que los desembolsos de préstamos están muy por debajo de las amortizaciones realizadas a la fecha, por lo que, se estima que el déficit fiscal al final de año prácticamente se cubrirá con la emisión de Bonos del Tesoro.</w:t>
      </w:r>
    </w:p>
    <w:p w:rsidR="004059FA" w:rsidRDefault="004059FA" w:rsidP="004059FA">
      <w:pPr>
        <w:pStyle w:val="Sinespaciado"/>
        <w:jc w:val="both"/>
        <w:rPr>
          <w:rFonts w:ascii="Times New Roman" w:hAnsi="Times New Roman" w:cs="Times New Roman"/>
          <w:color w:val="000000" w:themeColor="text1"/>
        </w:rPr>
      </w:pPr>
    </w:p>
    <w:p w:rsidR="004059FA" w:rsidRPr="004059FA" w:rsidRDefault="004059FA" w:rsidP="004059FA">
      <w:pPr>
        <w:rPr>
          <w:lang w:val="es-GT" w:eastAsia="en-US"/>
        </w:rPr>
      </w:pPr>
    </w:p>
    <w:p w:rsidR="002238D7" w:rsidRPr="002238D7" w:rsidRDefault="002238D7" w:rsidP="002238D7">
      <w:pPr>
        <w:jc w:val="center"/>
        <w:rPr>
          <w:rFonts w:ascii="Times New Roman" w:hAnsi="Times New Roman" w:cs="Times New Roman"/>
          <w:color w:val="1F497D" w:themeColor="text2"/>
          <w:lang w:val="es-MX"/>
        </w:rPr>
      </w:pPr>
    </w:p>
    <w:p w:rsidR="00166F68" w:rsidRPr="006A2E1A" w:rsidRDefault="00166F68" w:rsidP="006A2E1A">
      <w:pPr>
        <w:pStyle w:val="Prrafodelista"/>
        <w:numPr>
          <w:ilvl w:val="0"/>
          <w:numId w:val="25"/>
        </w:numPr>
        <w:pBdr>
          <w:top w:val="single" w:sz="4" w:space="1" w:color="auto"/>
          <w:bottom w:val="single" w:sz="4" w:space="1" w:color="auto"/>
        </w:pBdr>
        <w:shd w:val="clear" w:color="auto" w:fill="2F8C99"/>
        <w:ind w:left="709" w:hanging="709"/>
        <w:jc w:val="both"/>
        <w:outlineLvl w:val="0"/>
        <w:rPr>
          <w:rFonts w:ascii="Times New Roman" w:hAnsi="Times New Roman" w:cs="Times New Roman"/>
          <w:b/>
          <w:color w:val="FFFFFF" w:themeColor="background1"/>
          <w:sz w:val="32"/>
          <w:lang w:val="es-MX"/>
        </w:rPr>
      </w:pPr>
      <w:r>
        <w:rPr>
          <w:rFonts w:ascii="Times New Roman" w:hAnsi="Times New Roman" w:cs="Times New Roman"/>
          <w:b/>
          <w:color w:val="FF0000"/>
          <w:sz w:val="8"/>
        </w:rPr>
        <w:br w:type="page"/>
      </w:r>
      <w:bookmarkStart w:id="25" w:name="_Toc457550841"/>
      <w:r w:rsidRPr="006A2E1A">
        <w:rPr>
          <w:rFonts w:ascii="Times New Roman" w:hAnsi="Times New Roman" w:cs="Times New Roman"/>
          <w:b/>
          <w:color w:val="FFFFFF" w:themeColor="background1"/>
          <w:sz w:val="32"/>
          <w:lang w:val="es-MX"/>
        </w:rPr>
        <w:lastRenderedPageBreak/>
        <w:t>Anexo</w:t>
      </w:r>
      <w:r w:rsidR="006A2E1A">
        <w:rPr>
          <w:rFonts w:ascii="Times New Roman" w:hAnsi="Times New Roman" w:cs="Times New Roman"/>
          <w:b/>
          <w:color w:val="FFFFFF" w:themeColor="background1"/>
          <w:sz w:val="32"/>
          <w:lang w:val="es-MX"/>
        </w:rPr>
        <w:t>s</w:t>
      </w:r>
      <w:bookmarkEnd w:id="25"/>
    </w:p>
    <w:p w:rsidR="006A2E1A" w:rsidRDefault="006A2E1A" w:rsidP="00166F68">
      <w:pPr>
        <w:jc w:val="center"/>
        <w:rPr>
          <w:rFonts w:ascii="Times New Roman" w:hAnsi="Times New Roman" w:cs="Times New Roman"/>
          <w:b/>
          <w:sz w:val="28"/>
          <w:lang w:val="es-MX"/>
        </w:rPr>
      </w:pPr>
    </w:p>
    <w:p w:rsidR="006A2E1A" w:rsidRDefault="006A2E1A" w:rsidP="00166F68">
      <w:pPr>
        <w:jc w:val="center"/>
        <w:rPr>
          <w:rFonts w:ascii="Times New Roman" w:hAnsi="Times New Roman" w:cs="Times New Roman"/>
          <w:b/>
          <w:sz w:val="28"/>
          <w:lang w:val="es-MX"/>
        </w:rPr>
      </w:pPr>
      <w:r>
        <w:rPr>
          <w:rFonts w:ascii="Times New Roman" w:hAnsi="Times New Roman" w:cs="Times New Roman"/>
          <w:b/>
          <w:sz w:val="28"/>
          <w:lang w:val="es-MX"/>
        </w:rPr>
        <w:t>Anexo 1</w:t>
      </w:r>
    </w:p>
    <w:p w:rsidR="00166F68" w:rsidRPr="00BF69D3" w:rsidRDefault="00166F68" w:rsidP="00166F68">
      <w:pPr>
        <w:jc w:val="center"/>
        <w:rPr>
          <w:rFonts w:ascii="Times New Roman" w:hAnsi="Times New Roman" w:cs="Times New Roman"/>
          <w:b/>
          <w:sz w:val="28"/>
          <w:lang w:val="es-MX"/>
        </w:rPr>
      </w:pPr>
      <w:r w:rsidRPr="00BF69D3">
        <w:rPr>
          <w:rFonts w:ascii="Times New Roman" w:hAnsi="Times New Roman" w:cs="Times New Roman"/>
          <w:b/>
          <w:sz w:val="28"/>
          <w:lang w:val="es-MX"/>
        </w:rPr>
        <w:t>Ingresos tributarios netos acumulados a junio 2016-2015</w:t>
      </w:r>
    </w:p>
    <w:p w:rsidR="00166F68" w:rsidRPr="00BF69D3" w:rsidRDefault="00166F68" w:rsidP="00166F68">
      <w:pPr>
        <w:jc w:val="center"/>
        <w:rPr>
          <w:rFonts w:ascii="Times New Roman" w:hAnsi="Times New Roman" w:cs="Times New Roman"/>
          <w:b/>
          <w:sz w:val="28"/>
          <w:lang w:val="es-MX"/>
        </w:rPr>
      </w:pPr>
      <w:r w:rsidRPr="00BF69D3">
        <w:rPr>
          <w:rFonts w:ascii="Times New Roman" w:hAnsi="Times New Roman" w:cs="Times New Roman"/>
          <w:b/>
          <w:sz w:val="28"/>
          <w:lang w:val="es-MX"/>
        </w:rPr>
        <w:t>Millones de quetzales y porcentajes</w:t>
      </w:r>
    </w:p>
    <w:p w:rsidR="00166F68" w:rsidRDefault="00166F68" w:rsidP="00166F68">
      <w:pPr>
        <w:jc w:val="both"/>
        <w:rPr>
          <w:rFonts w:ascii="Times New Roman" w:hAnsi="Times New Roman" w:cs="Times New Roman"/>
          <w:lang w:val="es-MX"/>
        </w:rPr>
      </w:pPr>
    </w:p>
    <w:p w:rsidR="00166F68" w:rsidRDefault="00166F68" w:rsidP="00166F68">
      <w:pPr>
        <w:jc w:val="center"/>
        <w:rPr>
          <w:rFonts w:ascii="Times New Roman" w:hAnsi="Times New Roman" w:cs="Times New Roman"/>
          <w:lang w:val="es-MX"/>
        </w:rPr>
      </w:pPr>
      <w:r w:rsidRPr="00BF69D3">
        <w:rPr>
          <w:noProof/>
          <w:lang w:val="es-GT" w:eastAsia="es-GT"/>
        </w:rPr>
        <w:drawing>
          <wp:inline distT="0" distB="0" distL="0" distR="0" wp14:anchorId="2674D992" wp14:editId="6BCB80BD">
            <wp:extent cx="5581650" cy="576170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91632" cy="5772006"/>
                    </a:xfrm>
                    <a:prstGeom prst="rect">
                      <a:avLst/>
                    </a:prstGeom>
                    <a:noFill/>
                    <a:ln>
                      <a:noFill/>
                    </a:ln>
                  </pic:spPr>
                </pic:pic>
              </a:graphicData>
            </a:graphic>
          </wp:inline>
        </w:drawing>
      </w:r>
    </w:p>
    <w:p w:rsidR="00166F68" w:rsidRPr="00BF69D3" w:rsidRDefault="00166F68" w:rsidP="00166F68">
      <w:pPr>
        <w:jc w:val="both"/>
        <w:rPr>
          <w:rFonts w:ascii="Times New Roman" w:hAnsi="Times New Roman" w:cs="Times New Roman"/>
          <w:sz w:val="16"/>
          <w:lang w:val="es-MX"/>
        </w:rPr>
      </w:pPr>
      <w:r w:rsidRPr="00BF69D3">
        <w:rPr>
          <w:rFonts w:ascii="Times New Roman" w:hAnsi="Times New Roman" w:cs="Times New Roman"/>
          <w:sz w:val="16"/>
          <w:lang w:val="es-MX"/>
        </w:rPr>
        <w:t>Fuente: Dirección de Análisis y Política Fiscal</w:t>
      </w:r>
    </w:p>
    <w:p w:rsidR="00166F68" w:rsidRPr="00166F68" w:rsidRDefault="00166F68">
      <w:pPr>
        <w:rPr>
          <w:rFonts w:ascii="Times New Roman" w:hAnsi="Times New Roman" w:cs="Times New Roman"/>
          <w:b/>
          <w:color w:val="FF0000"/>
          <w:sz w:val="8"/>
          <w:lang w:val="es-MX"/>
        </w:rPr>
      </w:pPr>
    </w:p>
    <w:p w:rsidR="00166F68" w:rsidRDefault="00166F68" w:rsidP="00166F68">
      <w:pPr>
        <w:pStyle w:val="Sinespaciado"/>
        <w:jc w:val="center"/>
        <w:rPr>
          <w:rFonts w:ascii="Times New Roman" w:hAnsi="Times New Roman" w:cs="Times New Roman"/>
          <w:b/>
          <w:color w:val="000000" w:themeColor="text1"/>
        </w:rPr>
      </w:pPr>
    </w:p>
    <w:p w:rsidR="00166F68" w:rsidRDefault="00166F68" w:rsidP="006A2E1A">
      <w:pPr>
        <w:pStyle w:val="Sinespaciado"/>
        <w:rPr>
          <w:rFonts w:ascii="Times New Roman" w:hAnsi="Times New Roman" w:cs="Times New Roman"/>
          <w:b/>
          <w:color w:val="000000" w:themeColor="text1"/>
        </w:rPr>
      </w:pPr>
    </w:p>
    <w:p w:rsidR="00166F68" w:rsidRDefault="006A2E1A" w:rsidP="00166F68">
      <w:pPr>
        <w:pStyle w:val="Sinespaciado"/>
        <w:jc w:val="center"/>
        <w:rPr>
          <w:noProof/>
          <w:lang w:eastAsia="es-GT"/>
        </w:rPr>
      </w:pPr>
      <w:r>
        <w:rPr>
          <w:rFonts w:ascii="Times New Roman" w:hAnsi="Times New Roman" w:cs="Times New Roman"/>
          <w:b/>
          <w:sz w:val="28"/>
          <w:lang w:val="es-MX"/>
        </w:rPr>
        <w:lastRenderedPageBreak/>
        <w:t>Anexo 2</w:t>
      </w:r>
      <w:r w:rsidR="00166F68">
        <w:rPr>
          <w:rFonts w:ascii="Times New Roman" w:hAnsi="Times New Roman" w:cs="Times New Roman"/>
          <w:b/>
          <w:color w:val="000000" w:themeColor="text1"/>
        </w:rPr>
        <w:t xml:space="preserve"> </w:t>
      </w:r>
    </w:p>
    <w:p w:rsidR="00166F68" w:rsidRPr="006A2E1A" w:rsidRDefault="00166F68" w:rsidP="006A2E1A">
      <w:pPr>
        <w:pStyle w:val="Sinespaciado"/>
        <w:jc w:val="center"/>
        <w:rPr>
          <w:rFonts w:ascii="Times New Roman" w:hAnsi="Times New Roman" w:cs="Times New Roman"/>
          <w:color w:val="000000" w:themeColor="text1"/>
        </w:rPr>
      </w:pPr>
      <w:r>
        <w:rPr>
          <w:noProof/>
          <w:lang w:eastAsia="es-GT"/>
        </w:rPr>
        <w:drawing>
          <wp:inline distT="0" distB="0" distL="0" distR="0" wp14:anchorId="4E340AC0" wp14:editId="3D8D4B7B">
            <wp:extent cx="3330590" cy="7263442"/>
            <wp:effectExtent l="0" t="0" r="317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1412" cy="7265235"/>
                    </a:xfrm>
                    <a:prstGeom prst="rect">
                      <a:avLst/>
                    </a:prstGeom>
                    <a:noFill/>
                    <a:ln>
                      <a:noFill/>
                    </a:ln>
                  </pic:spPr>
                </pic:pic>
              </a:graphicData>
            </a:graphic>
          </wp:inline>
        </w:drawing>
      </w:r>
    </w:p>
    <w:p w:rsidR="00166F68" w:rsidRDefault="006A2E1A" w:rsidP="00166F68">
      <w:pPr>
        <w:pStyle w:val="Sinespaciado"/>
        <w:jc w:val="center"/>
        <w:rPr>
          <w:rFonts w:ascii="Times New Roman" w:hAnsi="Times New Roman" w:cs="Times New Roman"/>
          <w:b/>
          <w:color w:val="000000" w:themeColor="text1"/>
        </w:rPr>
      </w:pPr>
      <w:r>
        <w:rPr>
          <w:rFonts w:ascii="Times New Roman" w:hAnsi="Times New Roman" w:cs="Times New Roman"/>
          <w:b/>
          <w:sz w:val="28"/>
          <w:lang w:val="es-MX"/>
        </w:rPr>
        <w:lastRenderedPageBreak/>
        <w:t>Anexo 3</w:t>
      </w:r>
      <w:r>
        <w:rPr>
          <w:rFonts w:ascii="Times New Roman" w:hAnsi="Times New Roman" w:cs="Times New Roman"/>
          <w:b/>
          <w:color w:val="000000" w:themeColor="text1"/>
        </w:rPr>
        <w:t xml:space="preserve"> </w:t>
      </w:r>
    </w:p>
    <w:p w:rsidR="00166F68" w:rsidRDefault="00166F68" w:rsidP="00166F68">
      <w:pPr>
        <w:pStyle w:val="Sinespaciado"/>
        <w:jc w:val="both"/>
        <w:rPr>
          <w:rFonts w:ascii="Times New Roman" w:hAnsi="Times New Roman" w:cs="Times New Roman"/>
          <w:color w:val="000000" w:themeColor="text1"/>
        </w:rPr>
      </w:pPr>
    </w:p>
    <w:p w:rsidR="00166F68" w:rsidRDefault="00166F68" w:rsidP="00166F68">
      <w:pPr>
        <w:pStyle w:val="Sinespaciado"/>
        <w:jc w:val="center"/>
        <w:rPr>
          <w:rFonts w:ascii="Times New Roman" w:hAnsi="Times New Roman" w:cs="Times New Roman"/>
          <w:color w:val="000000" w:themeColor="text1"/>
        </w:rPr>
      </w:pPr>
      <w:r>
        <w:rPr>
          <w:noProof/>
          <w:lang w:eastAsia="es-GT"/>
        </w:rPr>
        <w:drawing>
          <wp:inline distT="0" distB="0" distL="0" distR="0">
            <wp:extent cx="5046345" cy="6176645"/>
            <wp:effectExtent l="0" t="0" r="190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46345" cy="6176645"/>
                    </a:xfrm>
                    <a:prstGeom prst="rect">
                      <a:avLst/>
                    </a:prstGeom>
                    <a:noFill/>
                    <a:ln>
                      <a:noFill/>
                    </a:ln>
                  </pic:spPr>
                </pic:pic>
              </a:graphicData>
            </a:graphic>
          </wp:inline>
        </w:drawing>
      </w:r>
    </w:p>
    <w:p w:rsidR="00166F68" w:rsidRDefault="00166F68" w:rsidP="00166F68">
      <w:pPr>
        <w:pStyle w:val="Sinespaciado"/>
        <w:jc w:val="both"/>
        <w:rPr>
          <w:rFonts w:ascii="Times New Roman" w:hAnsi="Times New Roman" w:cs="Times New Roman"/>
          <w:color w:val="000000" w:themeColor="text1"/>
        </w:rPr>
      </w:pPr>
    </w:p>
    <w:p w:rsidR="00166F68" w:rsidRDefault="00166F68" w:rsidP="00166F68">
      <w:pPr>
        <w:pStyle w:val="Sinespaciado"/>
        <w:jc w:val="both"/>
        <w:rPr>
          <w:rFonts w:ascii="Times New Roman" w:hAnsi="Times New Roman" w:cs="Times New Roman"/>
          <w:color w:val="000000" w:themeColor="text1"/>
        </w:rPr>
      </w:pPr>
    </w:p>
    <w:p w:rsidR="00166F68" w:rsidRDefault="00166F68" w:rsidP="00166F68">
      <w:pPr>
        <w:pStyle w:val="Sinespaciado"/>
        <w:jc w:val="both"/>
        <w:rPr>
          <w:rFonts w:ascii="Times New Roman" w:hAnsi="Times New Roman" w:cs="Times New Roman"/>
          <w:color w:val="000000" w:themeColor="text1"/>
        </w:rPr>
      </w:pPr>
    </w:p>
    <w:p w:rsidR="00166F68" w:rsidRDefault="00166F68" w:rsidP="00166F68">
      <w:pPr>
        <w:pStyle w:val="Sinespaciado"/>
        <w:jc w:val="both"/>
        <w:rPr>
          <w:rFonts w:ascii="Times New Roman" w:hAnsi="Times New Roman" w:cs="Times New Roman"/>
          <w:color w:val="000000" w:themeColor="text1"/>
        </w:rPr>
      </w:pPr>
    </w:p>
    <w:p w:rsidR="00166F68" w:rsidRDefault="00166F68" w:rsidP="00166F68">
      <w:pPr>
        <w:pStyle w:val="Sinespaciado"/>
        <w:jc w:val="both"/>
        <w:rPr>
          <w:rFonts w:ascii="Times New Roman" w:hAnsi="Times New Roman" w:cs="Times New Roman"/>
          <w:color w:val="000000" w:themeColor="text1"/>
        </w:rPr>
      </w:pPr>
    </w:p>
    <w:p w:rsidR="00166F68" w:rsidRDefault="00166F68" w:rsidP="00166F68">
      <w:pPr>
        <w:pStyle w:val="Sinespaciado"/>
        <w:jc w:val="both"/>
        <w:rPr>
          <w:rFonts w:ascii="Times New Roman" w:hAnsi="Times New Roman" w:cs="Times New Roman"/>
          <w:color w:val="000000" w:themeColor="text1"/>
        </w:rPr>
      </w:pPr>
    </w:p>
    <w:p w:rsidR="002238D7" w:rsidRPr="002238D7" w:rsidRDefault="002238D7" w:rsidP="00CE3FA7">
      <w:pPr>
        <w:jc w:val="center"/>
        <w:rPr>
          <w:rFonts w:ascii="Times New Roman" w:hAnsi="Times New Roman" w:cs="Times New Roman"/>
          <w:b/>
          <w:color w:val="FF0000"/>
          <w:sz w:val="8"/>
        </w:rPr>
      </w:pPr>
    </w:p>
    <w:sectPr w:rsidR="002238D7" w:rsidRPr="002238D7" w:rsidSect="007B2090">
      <w:headerReference w:type="even" r:id="rId41"/>
      <w:headerReference w:type="default" r:id="rId42"/>
      <w:footerReference w:type="default" r:id="rId43"/>
      <w:headerReference w:type="first" r:id="rId44"/>
      <w:footerReference w:type="first" r:id="rId45"/>
      <w:pgSz w:w="12240" w:h="15840" w:code="1"/>
      <w:pgMar w:top="2410"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BF" w:rsidRDefault="004008BF" w:rsidP="005444DC">
      <w:r>
        <w:separator/>
      </w:r>
    </w:p>
  </w:endnote>
  <w:endnote w:type="continuationSeparator" w:id="0">
    <w:p w:rsidR="004008BF" w:rsidRDefault="004008BF" w:rsidP="0054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92220759"/>
      <w:docPartObj>
        <w:docPartGallery w:val="Page Numbers (Bottom of Page)"/>
        <w:docPartUnique/>
      </w:docPartObj>
    </w:sdtPr>
    <w:sdtEndPr/>
    <w:sdtContent>
      <w:sdt>
        <w:sdtPr>
          <w:rPr>
            <w:rFonts w:ascii="Times New Roman" w:hAnsi="Times New Roman" w:cs="Times New Roman"/>
            <w:sz w:val="20"/>
          </w:rPr>
          <w:id w:val="-1053919610"/>
          <w:docPartObj>
            <w:docPartGallery w:val="Page Numbers (Top of Page)"/>
            <w:docPartUnique/>
          </w:docPartObj>
        </w:sdtPr>
        <w:sdtEndPr/>
        <w:sdtContent>
          <w:p w:rsidR="007B2090" w:rsidRPr="008A6C07" w:rsidRDefault="007B2090">
            <w:pPr>
              <w:pStyle w:val="Piedepgina"/>
              <w:jc w:val="right"/>
              <w:rPr>
                <w:rFonts w:ascii="Times New Roman" w:hAnsi="Times New Roman" w:cs="Times New Roman"/>
                <w:sz w:val="20"/>
              </w:rPr>
            </w:pPr>
            <w:r w:rsidRPr="008B7D3A">
              <w:rPr>
                <w:noProof/>
                <w:color w:val="548DD4" w:themeColor="text2" w:themeTint="99"/>
                <w:lang w:val="es-GT" w:eastAsia="es-GT"/>
              </w:rPr>
              <mc:AlternateContent>
                <mc:Choice Requires="wps">
                  <w:drawing>
                    <wp:anchor distT="0" distB="0" distL="114300" distR="114300" simplePos="0" relativeHeight="251664384" behindDoc="0" locked="0" layoutInCell="1" allowOverlap="1" wp14:anchorId="096B5438" wp14:editId="758A9021">
                      <wp:simplePos x="0" y="0"/>
                      <wp:positionH relativeFrom="column">
                        <wp:posOffset>-518160</wp:posOffset>
                      </wp:positionH>
                      <wp:positionV relativeFrom="paragraph">
                        <wp:posOffset>-54610</wp:posOffset>
                      </wp:positionV>
                      <wp:extent cx="6629400" cy="0"/>
                      <wp:effectExtent l="38100" t="38100" r="57150" b="95250"/>
                      <wp:wrapNone/>
                      <wp:docPr id="11" name="11 Conector recto"/>
                      <wp:cNvGraphicFramePr/>
                      <a:graphic xmlns:a="http://schemas.openxmlformats.org/drawingml/2006/main">
                        <a:graphicData uri="http://schemas.microsoft.com/office/word/2010/wordprocessingShape">
                          <wps:wsp>
                            <wps:cNvCnPr/>
                            <wps:spPr>
                              <a:xfrm>
                                <a:off x="0" y="0"/>
                                <a:ext cx="6629400" cy="0"/>
                              </a:xfrm>
                              <a:prstGeom prst="line">
                                <a:avLst/>
                              </a:prstGeom>
                              <a:ln w="12700">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5CC9BC" id="11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8pt,-4.3pt" to="48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" strokecolor="#1f497d [3215]" strokeweight="1pt">
                      <v:shadow on="t" color="black" opacity="24903f" origin=",.5" offset="0,.55556mm"/>
                    </v:line>
                  </w:pict>
                </mc:Fallback>
              </mc:AlternateContent>
            </w:r>
            <w:r w:rsidRPr="008B7D3A">
              <w:rPr>
                <w:rFonts w:ascii="Times New Roman" w:hAnsi="Times New Roman" w:cs="Times New Roman"/>
                <w:color w:val="548DD4" w:themeColor="text2" w:themeTint="99"/>
                <w:sz w:val="20"/>
                <w:lang w:val="es-ES"/>
              </w:rPr>
              <w:t xml:space="preserve">Página </w:t>
            </w:r>
            <w:r w:rsidRPr="008B7D3A">
              <w:rPr>
                <w:rFonts w:ascii="Times New Roman" w:hAnsi="Times New Roman" w:cs="Times New Roman"/>
                <w:b/>
                <w:bCs/>
                <w:color w:val="548DD4" w:themeColor="text2" w:themeTint="99"/>
                <w:sz w:val="20"/>
              </w:rPr>
              <w:fldChar w:fldCharType="begin"/>
            </w:r>
            <w:r w:rsidRPr="008B7D3A">
              <w:rPr>
                <w:rFonts w:ascii="Times New Roman" w:hAnsi="Times New Roman" w:cs="Times New Roman"/>
                <w:b/>
                <w:bCs/>
                <w:color w:val="548DD4" w:themeColor="text2" w:themeTint="99"/>
                <w:sz w:val="20"/>
              </w:rPr>
              <w:instrText>PAGE</w:instrText>
            </w:r>
            <w:r w:rsidRPr="008B7D3A">
              <w:rPr>
                <w:rFonts w:ascii="Times New Roman" w:hAnsi="Times New Roman" w:cs="Times New Roman"/>
                <w:b/>
                <w:bCs/>
                <w:color w:val="548DD4" w:themeColor="text2" w:themeTint="99"/>
                <w:sz w:val="20"/>
              </w:rPr>
              <w:fldChar w:fldCharType="separate"/>
            </w:r>
            <w:r w:rsidR="0027495C">
              <w:rPr>
                <w:rFonts w:ascii="Times New Roman" w:hAnsi="Times New Roman" w:cs="Times New Roman"/>
                <w:b/>
                <w:bCs/>
                <w:noProof/>
                <w:color w:val="548DD4" w:themeColor="text2" w:themeTint="99"/>
                <w:sz w:val="20"/>
              </w:rPr>
              <w:t>17</w:t>
            </w:r>
            <w:r w:rsidRPr="008B7D3A">
              <w:rPr>
                <w:rFonts w:ascii="Times New Roman" w:hAnsi="Times New Roman" w:cs="Times New Roman"/>
                <w:b/>
                <w:bCs/>
                <w:color w:val="548DD4" w:themeColor="text2" w:themeTint="99"/>
                <w:sz w:val="20"/>
              </w:rPr>
              <w:fldChar w:fldCharType="end"/>
            </w:r>
            <w:r w:rsidRPr="008B7D3A">
              <w:rPr>
                <w:rFonts w:ascii="Times New Roman" w:hAnsi="Times New Roman" w:cs="Times New Roman"/>
                <w:color w:val="548DD4" w:themeColor="text2" w:themeTint="99"/>
                <w:sz w:val="20"/>
                <w:lang w:val="es-ES"/>
              </w:rPr>
              <w:t xml:space="preserve"> de </w:t>
            </w:r>
            <w:r w:rsidRPr="008B7D3A">
              <w:rPr>
                <w:rFonts w:ascii="Times New Roman" w:hAnsi="Times New Roman" w:cs="Times New Roman"/>
                <w:b/>
                <w:bCs/>
                <w:color w:val="548DD4" w:themeColor="text2" w:themeTint="99"/>
                <w:sz w:val="20"/>
              </w:rPr>
              <w:fldChar w:fldCharType="begin"/>
            </w:r>
            <w:r w:rsidRPr="008B7D3A">
              <w:rPr>
                <w:rFonts w:ascii="Times New Roman" w:hAnsi="Times New Roman" w:cs="Times New Roman"/>
                <w:b/>
                <w:bCs/>
                <w:color w:val="548DD4" w:themeColor="text2" w:themeTint="99"/>
                <w:sz w:val="20"/>
              </w:rPr>
              <w:instrText>NUMPAGES</w:instrText>
            </w:r>
            <w:r w:rsidRPr="008B7D3A">
              <w:rPr>
                <w:rFonts w:ascii="Times New Roman" w:hAnsi="Times New Roman" w:cs="Times New Roman"/>
                <w:b/>
                <w:bCs/>
                <w:color w:val="548DD4" w:themeColor="text2" w:themeTint="99"/>
                <w:sz w:val="20"/>
              </w:rPr>
              <w:fldChar w:fldCharType="separate"/>
            </w:r>
            <w:r w:rsidR="0027495C">
              <w:rPr>
                <w:rFonts w:ascii="Times New Roman" w:hAnsi="Times New Roman" w:cs="Times New Roman"/>
                <w:b/>
                <w:bCs/>
                <w:noProof/>
                <w:color w:val="548DD4" w:themeColor="text2" w:themeTint="99"/>
                <w:sz w:val="20"/>
              </w:rPr>
              <w:t>33</w:t>
            </w:r>
            <w:r w:rsidRPr="008B7D3A">
              <w:rPr>
                <w:rFonts w:ascii="Times New Roman" w:hAnsi="Times New Roman" w:cs="Times New Roman"/>
                <w:b/>
                <w:bCs/>
                <w:color w:val="548DD4" w:themeColor="text2" w:themeTint="99"/>
                <w:sz w:val="20"/>
              </w:rPr>
              <w:fldChar w:fldCharType="end"/>
            </w:r>
          </w:p>
        </w:sdtContent>
      </w:sdt>
    </w:sdtContent>
  </w:sdt>
  <w:p w:rsidR="007B2090" w:rsidRDefault="007B209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90" w:rsidRDefault="007B2090" w:rsidP="007B2090">
    <w:pPr>
      <w:pStyle w:val="Piedepgina"/>
      <w:tabs>
        <w:tab w:val="clear" w:pos="4252"/>
        <w:tab w:val="clear" w:pos="8504"/>
        <w:tab w:val="left" w:pos="1576"/>
      </w:tabs>
    </w:pPr>
    <w:r>
      <w:rPr>
        <w:b/>
        <w:noProof/>
        <w:sz w:val="32"/>
        <w:lang w:val="es-GT" w:eastAsia="es-GT"/>
      </w:rPr>
      <mc:AlternateContent>
        <mc:Choice Requires="wps">
          <w:drawing>
            <wp:anchor distT="0" distB="0" distL="114300" distR="114300" simplePos="0" relativeHeight="251671552" behindDoc="0" locked="0" layoutInCell="1" allowOverlap="1" wp14:anchorId="45BC4405" wp14:editId="628A5333">
              <wp:simplePos x="0" y="0"/>
              <wp:positionH relativeFrom="column">
                <wp:posOffset>469265</wp:posOffset>
              </wp:positionH>
              <wp:positionV relativeFrom="paragraph">
                <wp:posOffset>176530</wp:posOffset>
              </wp:positionV>
              <wp:extent cx="4933950" cy="0"/>
              <wp:effectExtent l="38100" t="38100" r="57150" b="95250"/>
              <wp:wrapNone/>
              <wp:docPr id="8" name="8 Conector recto"/>
              <wp:cNvGraphicFramePr/>
              <a:graphic xmlns:a="http://schemas.openxmlformats.org/drawingml/2006/main">
                <a:graphicData uri="http://schemas.microsoft.com/office/word/2010/wordprocessingShape">
                  <wps:wsp>
                    <wps:cNvCnPr/>
                    <wps:spPr>
                      <a:xfrm>
                        <a:off x="0" y="0"/>
                        <a:ext cx="493395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E98088" id="8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95pt,13.9pt" to="425.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" strokecolor="#4f81bd [3204]" strokeweight="1pt">
              <v:shadow on="t" color="black" opacity="24903f" origin=",.5" offset="0,.55556mm"/>
            </v:line>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BF" w:rsidRDefault="004008BF" w:rsidP="005444DC">
      <w:r>
        <w:separator/>
      </w:r>
    </w:p>
  </w:footnote>
  <w:footnote w:type="continuationSeparator" w:id="0">
    <w:p w:rsidR="004008BF" w:rsidRDefault="004008BF" w:rsidP="005444DC">
      <w:r>
        <w:continuationSeparator/>
      </w:r>
    </w:p>
  </w:footnote>
  <w:footnote w:id="1">
    <w:p w:rsidR="007B2090" w:rsidRPr="00BB5996" w:rsidRDefault="007B2090" w:rsidP="00147E7A">
      <w:pPr>
        <w:pStyle w:val="Textonotapie"/>
        <w:rPr>
          <w:rFonts w:ascii="Times New Roman" w:hAnsi="Times New Roman" w:cs="Times New Roman"/>
          <w:lang w:val="es-MX"/>
        </w:rPr>
      </w:pPr>
      <w:r w:rsidRPr="00BB5996">
        <w:rPr>
          <w:rStyle w:val="Refdenotaalpie"/>
          <w:rFonts w:ascii="Times New Roman" w:hAnsi="Times New Roman" w:cs="Times New Roman"/>
        </w:rPr>
        <w:footnoteRef/>
      </w:r>
      <w:r w:rsidRPr="00BB5996">
        <w:rPr>
          <w:rFonts w:ascii="Times New Roman" w:hAnsi="Times New Roman" w:cs="Times New Roman"/>
        </w:rPr>
        <w:t xml:space="preserve"> </w:t>
      </w:r>
      <w:r w:rsidRPr="00BB5996">
        <w:rPr>
          <w:rFonts w:ascii="Times New Roman" w:hAnsi="Times New Roman" w:cs="Times New Roman"/>
          <w:lang w:val="es-MX"/>
        </w:rPr>
        <w:t>Incluye Q</w:t>
      </w:r>
      <w:r w:rsidR="008C52F4">
        <w:rPr>
          <w:rFonts w:ascii="Times New Roman" w:hAnsi="Times New Roman" w:cs="Times New Roman"/>
          <w:lang w:val="es-MX"/>
        </w:rPr>
        <w:t xml:space="preserve"> </w:t>
      </w:r>
      <w:r w:rsidRPr="00BB5996">
        <w:rPr>
          <w:rFonts w:ascii="Times New Roman" w:hAnsi="Times New Roman" w:cs="Times New Roman"/>
          <w:lang w:val="es-MX"/>
        </w:rPr>
        <w:t>120.7 millones por concepto de medidas administrativas</w:t>
      </w:r>
      <w:r>
        <w:rPr>
          <w:rFonts w:ascii="Times New Roman" w:hAnsi="Times New Roman" w:cs="Times New Roman"/>
          <w:lang w:val="es-MX"/>
        </w:rPr>
        <w:t xml:space="preserve"> (Q</w:t>
      </w:r>
      <w:r w:rsidR="008C52F4">
        <w:rPr>
          <w:rFonts w:ascii="Times New Roman" w:hAnsi="Times New Roman" w:cs="Times New Roman"/>
          <w:lang w:val="es-MX"/>
        </w:rPr>
        <w:t xml:space="preserve"> </w:t>
      </w:r>
      <w:r>
        <w:rPr>
          <w:rFonts w:ascii="Times New Roman" w:hAnsi="Times New Roman" w:cs="Times New Roman"/>
          <w:lang w:val="es-MX"/>
        </w:rPr>
        <w:t>60.36 millones en ISR y Q</w:t>
      </w:r>
      <w:r w:rsidR="008C52F4">
        <w:rPr>
          <w:rFonts w:ascii="Times New Roman" w:hAnsi="Times New Roman" w:cs="Times New Roman"/>
          <w:lang w:val="es-MX"/>
        </w:rPr>
        <w:t xml:space="preserve"> </w:t>
      </w:r>
      <w:r>
        <w:rPr>
          <w:rFonts w:ascii="Times New Roman" w:hAnsi="Times New Roman" w:cs="Times New Roman"/>
          <w:lang w:val="es-MX"/>
        </w:rPr>
        <w:t>60.36 millones en IVA).</w:t>
      </w:r>
    </w:p>
  </w:footnote>
  <w:footnote w:id="2">
    <w:p w:rsidR="007B2090" w:rsidRPr="002367D3" w:rsidRDefault="007B2090" w:rsidP="00147E7A">
      <w:pPr>
        <w:pStyle w:val="Textonotapie"/>
        <w:jc w:val="both"/>
        <w:rPr>
          <w:rFonts w:ascii="Times New Roman" w:hAnsi="Times New Roman" w:cs="Times New Roman"/>
          <w:lang w:val="es-MX"/>
        </w:rPr>
      </w:pPr>
      <w:r w:rsidRPr="002367D3">
        <w:rPr>
          <w:rStyle w:val="Refdenotaalpie"/>
          <w:rFonts w:ascii="Times New Roman" w:hAnsi="Times New Roman" w:cs="Times New Roman"/>
        </w:rPr>
        <w:footnoteRef/>
      </w:r>
      <w:r w:rsidRPr="002367D3">
        <w:rPr>
          <w:rFonts w:ascii="Times New Roman" w:hAnsi="Times New Roman" w:cs="Times New Roman"/>
        </w:rPr>
        <w:t xml:space="preserve"> </w:t>
      </w:r>
      <w:r w:rsidRPr="002367D3">
        <w:rPr>
          <w:rFonts w:ascii="Times New Roman" w:hAnsi="Times New Roman" w:cs="Times New Roman"/>
          <w:lang w:val="es-MX"/>
        </w:rPr>
        <w:t>Las remesas familiares luego del crecimiento interanual de 23.9% observado en febrero han venido disminuyendo hasta ubicarse en 18.9% al mes de junio.</w:t>
      </w:r>
    </w:p>
  </w:footnote>
  <w:footnote w:id="3">
    <w:p w:rsidR="007B2090" w:rsidRPr="002B2FAE" w:rsidRDefault="007B2090" w:rsidP="00147E7A">
      <w:pPr>
        <w:pStyle w:val="Textonotapie"/>
        <w:rPr>
          <w:rFonts w:ascii="Times New Roman" w:hAnsi="Times New Roman" w:cs="Times New Roman"/>
          <w:lang w:val="es-MX"/>
        </w:rPr>
      </w:pPr>
      <w:r w:rsidRPr="002B2FAE">
        <w:rPr>
          <w:rStyle w:val="Refdenotaalpie"/>
          <w:rFonts w:ascii="Times New Roman" w:hAnsi="Times New Roman" w:cs="Times New Roman"/>
        </w:rPr>
        <w:footnoteRef/>
      </w:r>
      <w:r w:rsidRPr="002B2FAE">
        <w:rPr>
          <w:rFonts w:ascii="Times New Roman" w:hAnsi="Times New Roman" w:cs="Times New Roman"/>
        </w:rPr>
        <w:t xml:space="preserve"> </w:t>
      </w:r>
      <w:r w:rsidRPr="002B2FAE">
        <w:rPr>
          <w:rFonts w:ascii="Times New Roman" w:hAnsi="Times New Roman" w:cs="Times New Roman"/>
          <w:lang w:val="es-MX"/>
        </w:rPr>
        <w:t>Recaudación ordinaria no incluye recaudación adicional por adeudos tributarios.</w:t>
      </w:r>
    </w:p>
  </w:footnote>
  <w:footnote w:id="4">
    <w:p w:rsidR="007B2090" w:rsidRDefault="007B2090" w:rsidP="004059FA">
      <w:pPr>
        <w:pStyle w:val="Sinespaciado"/>
        <w:jc w:val="both"/>
        <w:rPr>
          <w:rFonts w:ascii="Times New Roman" w:hAnsi="Times New Roman" w:cs="Times New Roman"/>
          <w:sz w:val="18"/>
          <w:szCs w:val="16"/>
          <w:lang w:val="es-MX"/>
        </w:rPr>
      </w:pPr>
      <w:r>
        <w:rPr>
          <w:rStyle w:val="Refdenotaalpie"/>
        </w:rPr>
        <w:footnoteRef/>
      </w:r>
      <w:r>
        <w:t xml:space="preserve"> </w:t>
      </w:r>
      <w:r>
        <w:rPr>
          <w:rFonts w:ascii="Times New Roman" w:hAnsi="Times New Roman" w:cs="Times New Roman"/>
          <w:sz w:val="18"/>
          <w:szCs w:val="16"/>
        </w:rPr>
        <w:t xml:space="preserve">Los renglones de gasto que integran este componente considerado como superfluo son: </w:t>
      </w:r>
      <w:r>
        <w:rPr>
          <w:rFonts w:ascii="Times New Roman" w:hAnsi="Times New Roman" w:cs="Times New Roman"/>
          <w:sz w:val="18"/>
          <w:szCs w:val="16"/>
          <w:lang w:val="es-MX"/>
        </w:rPr>
        <w:t>Divulgación de información (121), Viáticos (131,132,133,134 y 135), Transporte de personas (141), Combustibles y lubricantes (262),Útiles de oficina (291),Otros materiales y suministros (299), Equipo de oficina (322), Equipo de transporte (325), Equipo de cómputo (328), Alimentos para personas (211)</w:t>
      </w:r>
    </w:p>
    <w:p w:rsidR="007B2090" w:rsidRDefault="007B2090" w:rsidP="004059F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90" w:rsidRDefault="004008BF">
    <w:pPr>
      <w:pStyle w:val="Encabezado"/>
    </w:pPr>
    <w:sdt>
      <w:sdtPr>
        <w:id w:val="-435295769"/>
        <w:placeholder>
          <w:docPart w:val="A41CCA47167D3E42B3B6C4B923505C3E"/>
        </w:placeholder>
        <w:temporary/>
        <w:showingPlcHdr/>
      </w:sdtPr>
      <w:sdtEndPr/>
      <w:sdtContent>
        <w:r w:rsidR="007B2090">
          <w:rPr>
            <w:lang w:val="es-ES"/>
          </w:rPr>
          <w:t>[Escriba texto]</w:t>
        </w:r>
      </w:sdtContent>
    </w:sdt>
    <w:r w:rsidR="007B2090">
      <w:ptab w:relativeTo="margin" w:alignment="center" w:leader="none"/>
    </w:r>
    <w:sdt>
      <w:sdtPr>
        <w:id w:val="-1126230598"/>
        <w:placeholder>
          <w:docPart w:val="C60E729FB9B248469EFC054221C61557"/>
        </w:placeholder>
        <w:temporary/>
        <w:showingPlcHdr/>
      </w:sdtPr>
      <w:sdtEndPr/>
      <w:sdtContent>
        <w:r w:rsidR="007B2090">
          <w:rPr>
            <w:lang w:val="es-ES"/>
          </w:rPr>
          <w:t>[Escriba texto]</w:t>
        </w:r>
      </w:sdtContent>
    </w:sdt>
    <w:r w:rsidR="007B2090">
      <w:ptab w:relativeTo="margin" w:alignment="right" w:leader="none"/>
    </w:r>
    <w:sdt>
      <w:sdtPr>
        <w:id w:val="-676572232"/>
        <w:placeholder>
          <w:docPart w:val="20716D6324A2FC409975507E16F7759F"/>
        </w:placeholder>
        <w:temporary/>
        <w:showingPlcHdr/>
      </w:sdtPr>
      <w:sdtEndPr/>
      <w:sdtContent>
        <w:r w:rsidR="007B2090">
          <w:rPr>
            <w:lang w:val="es-ES"/>
          </w:rPr>
          <w:t>[Escriba texto]</w:t>
        </w:r>
      </w:sdtContent>
    </w:sdt>
  </w:p>
  <w:p w:rsidR="007B2090" w:rsidRDefault="007B209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8E" w:rsidRPr="007B2090" w:rsidRDefault="00D41E8E" w:rsidP="00D41E8E">
    <w:pPr>
      <w:spacing w:after="240"/>
      <w:ind w:left="2124" w:firstLine="708"/>
      <w:rPr>
        <w:b/>
        <w:i/>
        <w:color w:val="548DD4" w:themeColor="text2" w:themeTint="99"/>
        <w:sz w:val="32"/>
      </w:rPr>
    </w:pPr>
    <w:r w:rsidRPr="008B1B52">
      <w:rPr>
        <w:noProof/>
        <w:sz w:val="22"/>
        <w:lang w:val="es-GT" w:eastAsia="es-GT"/>
      </w:rPr>
      <w:drawing>
        <wp:anchor distT="0" distB="0" distL="114300" distR="114300" simplePos="0" relativeHeight="251675648" behindDoc="1" locked="0" layoutInCell="1" allowOverlap="1" wp14:anchorId="05432C08" wp14:editId="7CFCD5CA">
          <wp:simplePos x="0" y="0"/>
          <wp:positionH relativeFrom="column">
            <wp:posOffset>-449580</wp:posOffset>
          </wp:positionH>
          <wp:positionV relativeFrom="paragraph">
            <wp:posOffset>-30851</wp:posOffset>
          </wp:positionV>
          <wp:extent cx="1697990" cy="914400"/>
          <wp:effectExtent l="0" t="0" r="0" b="0"/>
          <wp:wrapNone/>
          <wp:docPr id="10" name="Imagen 1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B2090">
      <w:rPr>
        <w:b/>
        <w:i/>
        <w:color w:val="548DD4" w:themeColor="text2" w:themeTint="99"/>
        <w:sz w:val="32"/>
      </w:rPr>
      <w:t>Dirección de Análisis y Política Fiscal</w:t>
    </w:r>
  </w:p>
  <w:p w:rsidR="00D41E8E" w:rsidRPr="00D41E8E" w:rsidRDefault="00D41E8E" w:rsidP="00D41E8E">
    <w:pPr>
      <w:pStyle w:val="Encabezado"/>
      <w:rPr>
        <w:rFonts w:ascii="Times New Roman" w:hAnsi="Times New Roman" w:cs="Times New Roman"/>
        <w:b/>
        <w:sz w:val="20"/>
      </w:rPr>
    </w:pPr>
    <w:r>
      <w:rPr>
        <w:b/>
        <w:noProof/>
        <w:sz w:val="32"/>
        <w:lang w:val="es-GT" w:eastAsia="es-GT"/>
      </w:rPr>
      <mc:AlternateContent>
        <mc:Choice Requires="wps">
          <w:drawing>
            <wp:anchor distT="0" distB="0" distL="114300" distR="114300" simplePos="0" relativeHeight="251673600" behindDoc="0" locked="0" layoutInCell="1" allowOverlap="1" wp14:anchorId="0AA2B101" wp14:editId="1E6D2831">
              <wp:simplePos x="0" y="0"/>
              <wp:positionH relativeFrom="column">
                <wp:posOffset>1300755</wp:posOffset>
              </wp:positionH>
              <wp:positionV relativeFrom="paragraph">
                <wp:posOffset>75589</wp:posOffset>
              </wp:positionV>
              <wp:extent cx="4934309" cy="0"/>
              <wp:effectExtent l="38100" t="38100" r="57150" b="95250"/>
              <wp:wrapNone/>
              <wp:docPr id="9" name="9 Conector recto"/>
              <wp:cNvGraphicFramePr/>
              <a:graphic xmlns:a="http://schemas.openxmlformats.org/drawingml/2006/main">
                <a:graphicData uri="http://schemas.microsoft.com/office/word/2010/wordprocessingShape">
                  <wps:wsp>
                    <wps:cNvCnPr/>
                    <wps:spPr>
                      <a:xfrm>
                        <a:off x="0" y="0"/>
                        <a:ext cx="4934309"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EDD849" id="9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2.4pt,5.95pt" to="490.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" strokecolor="#4f81bd [3204]" strokeweight="1pt">
              <v:shadow on="t" color="black" opacity="24903f" origin=",.5" offset="0,.55556mm"/>
            </v:line>
          </w:pict>
        </mc:Fallback>
      </mc:AlternateContent>
    </w:r>
    <w:r>
      <w:rPr>
        <w:b/>
        <w:sz w:val="32"/>
      </w:rPr>
      <w:tab/>
    </w:r>
  </w:p>
  <w:p w:rsidR="007B2090" w:rsidRPr="00D41E8E" w:rsidRDefault="00D41E8E" w:rsidP="00D41E8E">
    <w:pPr>
      <w:pStyle w:val="Encabezado"/>
      <w:jc w:val="right"/>
      <w:rPr>
        <w:i/>
      </w:rPr>
    </w:pPr>
    <w:r>
      <w:tab/>
    </w:r>
    <w:r w:rsidRPr="00D41E8E">
      <w:rPr>
        <w:rFonts w:ascii="Times New Roman" w:hAnsi="Times New Roman" w:cs="Times New Roman"/>
        <w:i/>
        <w:sz w:val="20"/>
      </w:rPr>
      <w:t>Informe del Desempeño de la Política Fiscal</w:t>
    </w:r>
    <w:r>
      <w:rPr>
        <w:rFonts w:ascii="Times New Roman" w:hAnsi="Times New Roman" w:cs="Times New Roman"/>
        <w:i/>
        <w:sz w:val="20"/>
      </w:rPr>
      <w:t>, primer semestre 2016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90" w:rsidRDefault="007B2090" w:rsidP="007B2090">
    <w:pPr>
      <w:ind w:left="1982" w:firstLine="142"/>
      <w:rPr>
        <w:color w:val="548DD4" w:themeColor="text2" w:themeTint="99"/>
      </w:rPr>
    </w:pPr>
    <w:r w:rsidRPr="008B1B52">
      <w:rPr>
        <w:noProof/>
        <w:sz w:val="22"/>
        <w:lang w:val="es-GT" w:eastAsia="es-GT"/>
      </w:rPr>
      <w:drawing>
        <wp:anchor distT="0" distB="0" distL="114300" distR="114300" simplePos="0" relativeHeight="251668480" behindDoc="1" locked="0" layoutInCell="1" allowOverlap="1" wp14:anchorId="0D6667E8" wp14:editId="2CACEF59">
          <wp:simplePos x="0" y="0"/>
          <wp:positionH relativeFrom="column">
            <wp:posOffset>-395605</wp:posOffset>
          </wp:positionH>
          <wp:positionV relativeFrom="paragraph">
            <wp:posOffset>-96891</wp:posOffset>
          </wp:positionV>
          <wp:extent cx="1697990" cy="914400"/>
          <wp:effectExtent l="0" t="0" r="0" b="0"/>
          <wp:wrapNone/>
          <wp:docPr id="4" name="Imagen 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p>
  <w:p w:rsidR="007B2090" w:rsidRPr="007B2090" w:rsidRDefault="007B2090" w:rsidP="007B2090">
    <w:pPr>
      <w:spacing w:after="240"/>
      <w:ind w:left="2124" w:firstLine="708"/>
      <w:rPr>
        <w:b/>
        <w:i/>
        <w:color w:val="548DD4" w:themeColor="text2" w:themeTint="99"/>
        <w:sz w:val="32"/>
      </w:rPr>
    </w:pPr>
    <w:r w:rsidRPr="007B2090">
      <w:rPr>
        <w:b/>
        <w:i/>
        <w:color w:val="548DD4" w:themeColor="text2" w:themeTint="99"/>
        <w:sz w:val="32"/>
      </w:rPr>
      <w:t>Dirección de Análisis y Política Fiscal</w:t>
    </w:r>
  </w:p>
  <w:p w:rsidR="007B2090" w:rsidRPr="007B2090" w:rsidRDefault="007B2090">
    <w:pPr>
      <w:pStyle w:val="Encabezado"/>
      <w:rPr>
        <w:b/>
        <w:sz w:val="32"/>
      </w:rPr>
    </w:pPr>
    <w:r>
      <w:rPr>
        <w:b/>
        <w:noProof/>
        <w:sz w:val="32"/>
        <w:lang w:val="es-GT" w:eastAsia="es-GT"/>
      </w:rPr>
      <mc:AlternateContent>
        <mc:Choice Requires="wps">
          <w:drawing>
            <wp:anchor distT="0" distB="0" distL="114300" distR="114300" simplePos="0" relativeHeight="251669504" behindDoc="0" locked="0" layoutInCell="1" allowOverlap="1">
              <wp:simplePos x="0" y="0"/>
              <wp:positionH relativeFrom="column">
                <wp:posOffset>1300755</wp:posOffset>
              </wp:positionH>
              <wp:positionV relativeFrom="paragraph">
                <wp:posOffset>75589</wp:posOffset>
              </wp:positionV>
              <wp:extent cx="4934309" cy="0"/>
              <wp:effectExtent l="38100" t="38100" r="57150" b="95250"/>
              <wp:wrapNone/>
              <wp:docPr id="7" name="7 Conector recto"/>
              <wp:cNvGraphicFramePr/>
              <a:graphic xmlns:a="http://schemas.openxmlformats.org/drawingml/2006/main">
                <a:graphicData uri="http://schemas.microsoft.com/office/word/2010/wordprocessingShape">
                  <wps:wsp>
                    <wps:cNvCnPr/>
                    <wps:spPr>
                      <a:xfrm>
                        <a:off x="0" y="0"/>
                        <a:ext cx="4934309"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E15499" id="7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2.4pt,5.95pt" to="490.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" strokecolor="#4f81bd [3204]" strokeweight="1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077"/>
    <w:multiLevelType w:val="hybridMultilevel"/>
    <w:tmpl w:val="A9C22182"/>
    <w:lvl w:ilvl="0" w:tplc="D3A4F54E">
      <w:start w:val="1"/>
      <w:numFmt w:val="upperRoman"/>
      <w:lvlText w:val="%1."/>
      <w:lvlJc w:val="right"/>
      <w:pPr>
        <w:ind w:left="360" w:hanging="360"/>
      </w:pPr>
      <w:rPr>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9A40574"/>
    <w:multiLevelType w:val="hybridMultilevel"/>
    <w:tmpl w:val="CD5CC8A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EE106AD"/>
    <w:multiLevelType w:val="hybridMultilevel"/>
    <w:tmpl w:val="8230EFB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87046CF"/>
    <w:multiLevelType w:val="hybridMultilevel"/>
    <w:tmpl w:val="91B8EB0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9B84EC2"/>
    <w:multiLevelType w:val="hybridMultilevel"/>
    <w:tmpl w:val="6CDA7B4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A126607"/>
    <w:multiLevelType w:val="hybridMultilevel"/>
    <w:tmpl w:val="C1CC618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C7D1DB2"/>
    <w:multiLevelType w:val="hybridMultilevel"/>
    <w:tmpl w:val="BD7841B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CD70A77"/>
    <w:multiLevelType w:val="hybridMultilevel"/>
    <w:tmpl w:val="49A0F07E"/>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8" w15:restartNumberingAfterBreak="0">
    <w:nsid w:val="23E839CB"/>
    <w:multiLevelType w:val="hybridMultilevel"/>
    <w:tmpl w:val="B9A691B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24A462D7"/>
    <w:multiLevelType w:val="hybridMultilevel"/>
    <w:tmpl w:val="B2CEFBE2"/>
    <w:lvl w:ilvl="0" w:tplc="A10816EC">
      <w:start w:val="1"/>
      <w:numFmt w:val="decimal"/>
      <w:lvlText w:val="%1."/>
      <w:lvlJc w:val="left"/>
      <w:pPr>
        <w:ind w:left="360" w:hanging="360"/>
      </w:pPr>
      <w:rPr>
        <w:rFonts w:hint="default"/>
        <w:b w:val="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15:restartNumberingAfterBreak="0">
    <w:nsid w:val="2A774872"/>
    <w:multiLevelType w:val="hybridMultilevel"/>
    <w:tmpl w:val="DE783AB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D3D32D9"/>
    <w:multiLevelType w:val="hybridMultilevel"/>
    <w:tmpl w:val="D6B8F3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D5A09C0"/>
    <w:multiLevelType w:val="hybridMultilevel"/>
    <w:tmpl w:val="92F073A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367E324B"/>
    <w:multiLevelType w:val="hybridMultilevel"/>
    <w:tmpl w:val="41143024"/>
    <w:lvl w:ilvl="0" w:tplc="100A000F">
      <w:start w:val="1"/>
      <w:numFmt w:val="decimal"/>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4" w15:restartNumberingAfterBreak="0">
    <w:nsid w:val="383C26A3"/>
    <w:multiLevelType w:val="hybridMultilevel"/>
    <w:tmpl w:val="714A85D2"/>
    <w:lvl w:ilvl="0" w:tplc="6AD2746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8A71665"/>
    <w:multiLevelType w:val="hybridMultilevel"/>
    <w:tmpl w:val="B3B811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8AC582C"/>
    <w:multiLevelType w:val="hybridMultilevel"/>
    <w:tmpl w:val="8D4AC09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41144DD3"/>
    <w:multiLevelType w:val="hybridMultilevel"/>
    <w:tmpl w:val="D05297E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8" w15:restartNumberingAfterBreak="0">
    <w:nsid w:val="4AB12D08"/>
    <w:multiLevelType w:val="hybridMultilevel"/>
    <w:tmpl w:val="6AE0939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4F0408A4"/>
    <w:multiLevelType w:val="hybridMultilevel"/>
    <w:tmpl w:val="7624E1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4F1F1422"/>
    <w:multiLevelType w:val="hybridMultilevel"/>
    <w:tmpl w:val="0C3E08CE"/>
    <w:lvl w:ilvl="0" w:tplc="23F4C90A">
      <w:start w:val="1"/>
      <w:numFmt w:val="decimal"/>
      <w:lvlText w:val="%1."/>
      <w:lvlJc w:val="left"/>
      <w:pPr>
        <w:ind w:left="360" w:hanging="360"/>
      </w:pPr>
      <w:rPr>
        <w:rFonts w:hint="default"/>
        <w:color w:val="auto"/>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1" w15:restartNumberingAfterBreak="0">
    <w:nsid w:val="55777B9E"/>
    <w:multiLevelType w:val="hybridMultilevel"/>
    <w:tmpl w:val="3F0047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6AB2974"/>
    <w:multiLevelType w:val="hybridMultilevel"/>
    <w:tmpl w:val="198C511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58741E90"/>
    <w:multiLevelType w:val="multilevel"/>
    <w:tmpl w:val="58DEA22A"/>
    <w:lvl w:ilvl="0">
      <w:start w:val="1"/>
      <w:numFmt w:val="upperRoman"/>
      <w:lvlText w:val="%1."/>
      <w:lvlJc w:val="left"/>
      <w:pPr>
        <w:ind w:left="720" w:hanging="720"/>
      </w:pPr>
      <w:rPr>
        <w:rFonts w:hint="default"/>
      </w:rPr>
    </w:lvl>
    <w:lvl w:ilvl="1">
      <w:start w:val="3"/>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CE5754F"/>
    <w:multiLevelType w:val="hybridMultilevel"/>
    <w:tmpl w:val="66D0A5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1717E68"/>
    <w:multiLevelType w:val="hybridMultilevel"/>
    <w:tmpl w:val="55FE60DA"/>
    <w:lvl w:ilvl="0" w:tplc="2A9A9AB2">
      <w:start w:val="1"/>
      <w:numFmt w:val="bullet"/>
      <w:lvlText w:val="-"/>
      <w:lvlJc w:val="left"/>
      <w:pPr>
        <w:ind w:left="720" w:hanging="360"/>
      </w:pPr>
      <w:rPr>
        <w:rFonts w:ascii="Times New Roman" w:hAnsi="Times New Roman"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648D416E"/>
    <w:multiLevelType w:val="hybridMultilevel"/>
    <w:tmpl w:val="912EF8A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789F4189"/>
    <w:multiLevelType w:val="hybridMultilevel"/>
    <w:tmpl w:val="A8B83BA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7C54079F"/>
    <w:multiLevelType w:val="hybridMultilevel"/>
    <w:tmpl w:val="015A1A2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0" w15:restartNumberingAfterBreak="0">
    <w:nsid w:val="7CE95D28"/>
    <w:multiLevelType w:val="hybridMultilevel"/>
    <w:tmpl w:val="422E502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6"/>
  </w:num>
  <w:num w:numId="2">
    <w:abstractNumId w:val="0"/>
  </w:num>
  <w:num w:numId="3">
    <w:abstractNumId w:val="20"/>
  </w:num>
  <w:num w:numId="4">
    <w:abstractNumId w:val="9"/>
  </w:num>
  <w:num w:numId="5">
    <w:abstractNumId w:val="8"/>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
  </w:num>
  <w:num w:numId="10">
    <w:abstractNumId w:val="27"/>
  </w:num>
  <w:num w:numId="11">
    <w:abstractNumId w:val="22"/>
  </w:num>
  <w:num w:numId="12">
    <w:abstractNumId w:val="18"/>
  </w:num>
  <w:num w:numId="13">
    <w:abstractNumId w:val="17"/>
  </w:num>
  <w:num w:numId="14">
    <w:abstractNumId w:val="10"/>
  </w:num>
  <w:num w:numId="15">
    <w:abstractNumId w:val="5"/>
  </w:num>
  <w:num w:numId="16">
    <w:abstractNumId w:val="6"/>
  </w:num>
  <w:num w:numId="17">
    <w:abstractNumId w:val="13"/>
  </w:num>
  <w:num w:numId="18">
    <w:abstractNumId w:val="16"/>
  </w:num>
  <w:num w:numId="19">
    <w:abstractNumId w:val="28"/>
  </w:num>
  <w:num w:numId="20">
    <w:abstractNumId w:val="25"/>
  </w:num>
  <w:num w:numId="21">
    <w:abstractNumId w:val="1"/>
  </w:num>
  <w:num w:numId="22">
    <w:abstractNumId w:val="7"/>
  </w:num>
  <w:num w:numId="23">
    <w:abstractNumId w:val="15"/>
  </w:num>
  <w:num w:numId="24">
    <w:abstractNumId w:val="19"/>
  </w:num>
  <w:num w:numId="25">
    <w:abstractNumId w:val="23"/>
  </w:num>
  <w:num w:numId="26">
    <w:abstractNumId w:val="21"/>
  </w:num>
  <w:num w:numId="27">
    <w:abstractNumId w:val="12"/>
  </w:num>
  <w:num w:numId="28">
    <w:abstractNumId w:val="11"/>
  </w:num>
  <w:num w:numId="29">
    <w:abstractNumId w:val="24"/>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DC"/>
    <w:rsid w:val="0000193C"/>
    <w:rsid w:val="0001057C"/>
    <w:rsid w:val="000206B7"/>
    <w:rsid w:val="00026B61"/>
    <w:rsid w:val="000274FD"/>
    <w:rsid w:val="00031E92"/>
    <w:rsid w:val="000360FB"/>
    <w:rsid w:val="00041A2F"/>
    <w:rsid w:val="00046ED3"/>
    <w:rsid w:val="000629D2"/>
    <w:rsid w:val="00067CCD"/>
    <w:rsid w:val="00082DC7"/>
    <w:rsid w:val="00083BC0"/>
    <w:rsid w:val="000D409F"/>
    <w:rsid w:val="00101E85"/>
    <w:rsid w:val="00114F48"/>
    <w:rsid w:val="001355FC"/>
    <w:rsid w:val="00147E7A"/>
    <w:rsid w:val="00160C96"/>
    <w:rsid w:val="00166F68"/>
    <w:rsid w:val="00183953"/>
    <w:rsid w:val="0019153B"/>
    <w:rsid w:val="00194C2C"/>
    <w:rsid w:val="001C04A9"/>
    <w:rsid w:val="001D0859"/>
    <w:rsid w:val="001D75FB"/>
    <w:rsid w:val="00202285"/>
    <w:rsid w:val="002052E6"/>
    <w:rsid w:val="00211090"/>
    <w:rsid w:val="00222E4B"/>
    <w:rsid w:val="002237AD"/>
    <w:rsid w:val="002238D7"/>
    <w:rsid w:val="00226474"/>
    <w:rsid w:val="00243390"/>
    <w:rsid w:val="00273813"/>
    <w:rsid w:val="0027495C"/>
    <w:rsid w:val="00297039"/>
    <w:rsid w:val="002C1F9E"/>
    <w:rsid w:val="002C51E6"/>
    <w:rsid w:val="002C6200"/>
    <w:rsid w:val="002D75E8"/>
    <w:rsid w:val="002E01B4"/>
    <w:rsid w:val="002F3245"/>
    <w:rsid w:val="003032FC"/>
    <w:rsid w:val="00326F6D"/>
    <w:rsid w:val="00330F1E"/>
    <w:rsid w:val="00337C60"/>
    <w:rsid w:val="0035754B"/>
    <w:rsid w:val="00361BE5"/>
    <w:rsid w:val="00366099"/>
    <w:rsid w:val="0037210D"/>
    <w:rsid w:val="0037278B"/>
    <w:rsid w:val="003727E8"/>
    <w:rsid w:val="00377030"/>
    <w:rsid w:val="003802C2"/>
    <w:rsid w:val="00391FF9"/>
    <w:rsid w:val="00394C0C"/>
    <w:rsid w:val="003A169C"/>
    <w:rsid w:val="003B04A1"/>
    <w:rsid w:val="003B67EE"/>
    <w:rsid w:val="003C6CFE"/>
    <w:rsid w:val="003D0D6E"/>
    <w:rsid w:val="004008BF"/>
    <w:rsid w:val="004059FA"/>
    <w:rsid w:val="0041343C"/>
    <w:rsid w:val="00422994"/>
    <w:rsid w:val="0042704D"/>
    <w:rsid w:val="00430143"/>
    <w:rsid w:val="0044119D"/>
    <w:rsid w:val="0045678E"/>
    <w:rsid w:val="00483676"/>
    <w:rsid w:val="00491CC4"/>
    <w:rsid w:val="004A7F3D"/>
    <w:rsid w:val="004B4DB0"/>
    <w:rsid w:val="004C06E7"/>
    <w:rsid w:val="004C3349"/>
    <w:rsid w:val="004C466C"/>
    <w:rsid w:val="004C77E0"/>
    <w:rsid w:val="004E6D5A"/>
    <w:rsid w:val="00514967"/>
    <w:rsid w:val="00524FB6"/>
    <w:rsid w:val="005444DC"/>
    <w:rsid w:val="00546852"/>
    <w:rsid w:val="00550A76"/>
    <w:rsid w:val="00556897"/>
    <w:rsid w:val="00562EA2"/>
    <w:rsid w:val="0057097F"/>
    <w:rsid w:val="00575DEA"/>
    <w:rsid w:val="005A57F3"/>
    <w:rsid w:val="005B5085"/>
    <w:rsid w:val="005C60AA"/>
    <w:rsid w:val="00631804"/>
    <w:rsid w:val="00660ADC"/>
    <w:rsid w:val="006628BB"/>
    <w:rsid w:val="00666F91"/>
    <w:rsid w:val="00677599"/>
    <w:rsid w:val="006961DB"/>
    <w:rsid w:val="00696887"/>
    <w:rsid w:val="006A2E1A"/>
    <w:rsid w:val="006A3AE6"/>
    <w:rsid w:val="006B1ACA"/>
    <w:rsid w:val="006B3CD1"/>
    <w:rsid w:val="006C015B"/>
    <w:rsid w:val="006D4A07"/>
    <w:rsid w:val="006D5F4F"/>
    <w:rsid w:val="006F3842"/>
    <w:rsid w:val="00700EAB"/>
    <w:rsid w:val="007057BA"/>
    <w:rsid w:val="007131CA"/>
    <w:rsid w:val="00714C37"/>
    <w:rsid w:val="007214DC"/>
    <w:rsid w:val="007264FB"/>
    <w:rsid w:val="0072750C"/>
    <w:rsid w:val="007376A8"/>
    <w:rsid w:val="0074143D"/>
    <w:rsid w:val="00743E2D"/>
    <w:rsid w:val="00746018"/>
    <w:rsid w:val="00750DF4"/>
    <w:rsid w:val="00757A04"/>
    <w:rsid w:val="00776F1E"/>
    <w:rsid w:val="007835F5"/>
    <w:rsid w:val="007B2090"/>
    <w:rsid w:val="007D5487"/>
    <w:rsid w:val="007D697C"/>
    <w:rsid w:val="00812494"/>
    <w:rsid w:val="008353C3"/>
    <w:rsid w:val="00874BC5"/>
    <w:rsid w:val="00897FF2"/>
    <w:rsid w:val="008A5954"/>
    <w:rsid w:val="008A6C07"/>
    <w:rsid w:val="008B1B52"/>
    <w:rsid w:val="008B7D3A"/>
    <w:rsid w:val="008C52F4"/>
    <w:rsid w:val="008F4002"/>
    <w:rsid w:val="008F60D4"/>
    <w:rsid w:val="00900A8B"/>
    <w:rsid w:val="00901F62"/>
    <w:rsid w:val="00901F8C"/>
    <w:rsid w:val="00906438"/>
    <w:rsid w:val="00917967"/>
    <w:rsid w:val="00922EC4"/>
    <w:rsid w:val="009456A0"/>
    <w:rsid w:val="00967A6F"/>
    <w:rsid w:val="00997A82"/>
    <w:rsid w:val="009B5F48"/>
    <w:rsid w:val="009C7C16"/>
    <w:rsid w:val="009D228A"/>
    <w:rsid w:val="009E4422"/>
    <w:rsid w:val="009E65CC"/>
    <w:rsid w:val="00A271E7"/>
    <w:rsid w:val="00A340D4"/>
    <w:rsid w:val="00A51326"/>
    <w:rsid w:val="00A562BE"/>
    <w:rsid w:val="00A72922"/>
    <w:rsid w:val="00A7553F"/>
    <w:rsid w:val="00A75C0C"/>
    <w:rsid w:val="00A77143"/>
    <w:rsid w:val="00A77BAA"/>
    <w:rsid w:val="00A83694"/>
    <w:rsid w:val="00A87BC2"/>
    <w:rsid w:val="00A9273D"/>
    <w:rsid w:val="00A9740E"/>
    <w:rsid w:val="00A9761C"/>
    <w:rsid w:val="00AB5587"/>
    <w:rsid w:val="00AC5AC6"/>
    <w:rsid w:val="00AE32C8"/>
    <w:rsid w:val="00AE6139"/>
    <w:rsid w:val="00AF0CDB"/>
    <w:rsid w:val="00AF2FEC"/>
    <w:rsid w:val="00B0606D"/>
    <w:rsid w:val="00B13002"/>
    <w:rsid w:val="00B135DA"/>
    <w:rsid w:val="00B3049E"/>
    <w:rsid w:val="00B3352E"/>
    <w:rsid w:val="00B346B5"/>
    <w:rsid w:val="00B432FF"/>
    <w:rsid w:val="00B43CF6"/>
    <w:rsid w:val="00B443D4"/>
    <w:rsid w:val="00B52BBC"/>
    <w:rsid w:val="00B81538"/>
    <w:rsid w:val="00B948D2"/>
    <w:rsid w:val="00BA0FC1"/>
    <w:rsid w:val="00BA5921"/>
    <w:rsid w:val="00BC550B"/>
    <w:rsid w:val="00BD441B"/>
    <w:rsid w:val="00BE13B4"/>
    <w:rsid w:val="00BE59CA"/>
    <w:rsid w:val="00C03A9E"/>
    <w:rsid w:val="00C05B7C"/>
    <w:rsid w:val="00C240A6"/>
    <w:rsid w:val="00C24750"/>
    <w:rsid w:val="00C43409"/>
    <w:rsid w:val="00C434CC"/>
    <w:rsid w:val="00C458D0"/>
    <w:rsid w:val="00C678FE"/>
    <w:rsid w:val="00C747EE"/>
    <w:rsid w:val="00C80C54"/>
    <w:rsid w:val="00C909D8"/>
    <w:rsid w:val="00C93AFC"/>
    <w:rsid w:val="00C93D0E"/>
    <w:rsid w:val="00C97E4E"/>
    <w:rsid w:val="00CA0DAB"/>
    <w:rsid w:val="00CA115F"/>
    <w:rsid w:val="00CA63EE"/>
    <w:rsid w:val="00CB5EDF"/>
    <w:rsid w:val="00CC1115"/>
    <w:rsid w:val="00CC4872"/>
    <w:rsid w:val="00CE3FA7"/>
    <w:rsid w:val="00CF0D5D"/>
    <w:rsid w:val="00D048E4"/>
    <w:rsid w:val="00D105B8"/>
    <w:rsid w:val="00D10ED4"/>
    <w:rsid w:val="00D110FE"/>
    <w:rsid w:val="00D1459D"/>
    <w:rsid w:val="00D14A44"/>
    <w:rsid w:val="00D246F0"/>
    <w:rsid w:val="00D248CB"/>
    <w:rsid w:val="00D354F9"/>
    <w:rsid w:val="00D41E8E"/>
    <w:rsid w:val="00D42E0F"/>
    <w:rsid w:val="00D47F2E"/>
    <w:rsid w:val="00D51A60"/>
    <w:rsid w:val="00D606E7"/>
    <w:rsid w:val="00D7459D"/>
    <w:rsid w:val="00D80606"/>
    <w:rsid w:val="00D80A6C"/>
    <w:rsid w:val="00DA2467"/>
    <w:rsid w:val="00DB401F"/>
    <w:rsid w:val="00DC2EEE"/>
    <w:rsid w:val="00DC66E7"/>
    <w:rsid w:val="00DE5378"/>
    <w:rsid w:val="00DE6E22"/>
    <w:rsid w:val="00E4433A"/>
    <w:rsid w:val="00E44EF9"/>
    <w:rsid w:val="00E6569F"/>
    <w:rsid w:val="00E93E33"/>
    <w:rsid w:val="00E9722C"/>
    <w:rsid w:val="00EA5D16"/>
    <w:rsid w:val="00EC0E6F"/>
    <w:rsid w:val="00EC765A"/>
    <w:rsid w:val="00ED6BED"/>
    <w:rsid w:val="00F11428"/>
    <w:rsid w:val="00F13F09"/>
    <w:rsid w:val="00F2112A"/>
    <w:rsid w:val="00F223F3"/>
    <w:rsid w:val="00F256E8"/>
    <w:rsid w:val="00F32C9A"/>
    <w:rsid w:val="00F333A1"/>
    <w:rsid w:val="00F34965"/>
    <w:rsid w:val="00F36BFC"/>
    <w:rsid w:val="00F4128F"/>
    <w:rsid w:val="00F41FF0"/>
    <w:rsid w:val="00F95C7D"/>
    <w:rsid w:val="00F96600"/>
    <w:rsid w:val="00FA0640"/>
    <w:rsid w:val="00FC5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C64EDD9-814D-49B5-9C23-58D82444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238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GT" w:eastAsia="en-US"/>
    </w:rPr>
  </w:style>
  <w:style w:type="paragraph" w:styleId="Ttulo2">
    <w:name w:val="heading 2"/>
    <w:basedOn w:val="Normal"/>
    <w:next w:val="Normal"/>
    <w:link w:val="Ttulo2Car"/>
    <w:uiPriority w:val="9"/>
    <w:semiHidden/>
    <w:unhideWhenUsed/>
    <w:qFormat/>
    <w:rsid w:val="00D41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C52F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4DC"/>
    <w:pPr>
      <w:tabs>
        <w:tab w:val="center" w:pos="4252"/>
        <w:tab w:val="right" w:pos="8504"/>
      </w:tabs>
    </w:pPr>
  </w:style>
  <w:style w:type="character" w:customStyle="1" w:styleId="EncabezadoCar">
    <w:name w:val="Encabezado Car"/>
    <w:basedOn w:val="Fuentedeprrafopredeter"/>
    <w:link w:val="Encabezado"/>
    <w:uiPriority w:val="99"/>
    <w:rsid w:val="005444DC"/>
  </w:style>
  <w:style w:type="paragraph" w:styleId="Piedepgina">
    <w:name w:val="footer"/>
    <w:basedOn w:val="Normal"/>
    <w:link w:val="PiedepginaCar"/>
    <w:uiPriority w:val="99"/>
    <w:unhideWhenUsed/>
    <w:rsid w:val="005444DC"/>
    <w:pPr>
      <w:tabs>
        <w:tab w:val="center" w:pos="4252"/>
        <w:tab w:val="right" w:pos="8504"/>
      </w:tabs>
    </w:pPr>
  </w:style>
  <w:style w:type="character" w:customStyle="1" w:styleId="PiedepginaCar">
    <w:name w:val="Pie de página Car"/>
    <w:basedOn w:val="Fuentedeprrafopredeter"/>
    <w:link w:val="Piedepgina"/>
    <w:uiPriority w:val="99"/>
    <w:rsid w:val="005444DC"/>
  </w:style>
  <w:style w:type="paragraph" w:styleId="Textodeglobo">
    <w:name w:val="Balloon Text"/>
    <w:basedOn w:val="Normal"/>
    <w:link w:val="TextodegloboCar"/>
    <w:uiPriority w:val="99"/>
    <w:semiHidden/>
    <w:unhideWhenUsed/>
    <w:rsid w:val="00C05B7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05B7C"/>
    <w:rPr>
      <w:rFonts w:ascii="Lucida Grande" w:hAnsi="Lucida Grande"/>
      <w:sz w:val="18"/>
      <w:szCs w:val="18"/>
    </w:rPr>
  </w:style>
  <w:style w:type="paragraph" w:styleId="Prrafodelista">
    <w:name w:val="List Paragraph"/>
    <w:basedOn w:val="Normal"/>
    <w:uiPriority w:val="34"/>
    <w:qFormat/>
    <w:rsid w:val="00D51A60"/>
    <w:pPr>
      <w:ind w:left="720"/>
      <w:contextualSpacing/>
    </w:pPr>
    <w:rPr>
      <w:rFonts w:eastAsiaTheme="minorHAnsi"/>
      <w:sz w:val="22"/>
      <w:szCs w:val="22"/>
      <w:lang w:val="es-GT" w:eastAsia="en-US"/>
    </w:rPr>
  </w:style>
  <w:style w:type="paragraph" w:styleId="Sinespaciado">
    <w:name w:val="No Spacing"/>
    <w:link w:val="SinespaciadoCar"/>
    <w:uiPriority w:val="1"/>
    <w:qFormat/>
    <w:rsid w:val="00D51A60"/>
    <w:rPr>
      <w:rFonts w:eastAsiaTheme="minorHAnsi"/>
      <w:sz w:val="22"/>
      <w:szCs w:val="22"/>
      <w:lang w:val="es-GT" w:eastAsia="en-US"/>
    </w:rPr>
  </w:style>
  <w:style w:type="character" w:customStyle="1" w:styleId="SinespaciadoCar">
    <w:name w:val="Sin espaciado Car"/>
    <w:basedOn w:val="Fuentedeprrafopredeter"/>
    <w:link w:val="Sinespaciado"/>
    <w:uiPriority w:val="1"/>
    <w:locked/>
    <w:rsid w:val="00D51A60"/>
    <w:rPr>
      <w:rFonts w:eastAsiaTheme="minorHAnsi"/>
      <w:sz w:val="22"/>
      <w:szCs w:val="22"/>
      <w:lang w:val="es-GT" w:eastAsia="en-US"/>
    </w:rPr>
  </w:style>
  <w:style w:type="paragraph" w:styleId="Textonotapie">
    <w:name w:val="footnote text"/>
    <w:aliases w:val="Texto nota pie Car Car Car Car Car Car,Texto nota pie Car Car Car Car Car Car Car,Texto nota pie Car Car Car Car Car Car Ca"/>
    <w:basedOn w:val="Normal"/>
    <w:link w:val="TextonotapieCar"/>
    <w:uiPriority w:val="99"/>
    <w:semiHidden/>
    <w:unhideWhenUsed/>
    <w:rsid w:val="004C06E7"/>
    <w:rPr>
      <w:rFonts w:eastAsiaTheme="minorHAnsi"/>
      <w:sz w:val="20"/>
      <w:szCs w:val="20"/>
      <w:lang w:val="es-GT" w:eastAsia="en-US"/>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semiHidden/>
    <w:rsid w:val="004C06E7"/>
    <w:rPr>
      <w:rFonts w:eastAsiaTheme="minorHAnsi"/>
      <w:sz w:val="20"/>
      <w:szCs w:val="20"/>
      <w:lang w:val="es-GT" w:eastAsia="en-US"/>
    </w:rPr>
  </w:style>
  <w:style w:type="character" w:styleId="Refdenotaalpie">
    <w:name w:val="footnote reference"/>
    <w:basedOn w:val="Fuentedeprrafopredeter"/>
    <w:uiPriority w:val="99"/>
    <w:semiHidden/>
    <w:unhideWhenUsed/>
    <w:rsid w:val="004C06E7"/>
    <w:rPr>
      <w:vertAlign w:val="superscript"/>
    </w:rPr>
  </w:style>
  <w:style w:type="character" w:styleId="Hipervnculo">
    <w:name w:val="Hyperlink"/>
    <w:basedOn w:val="Fuentedeprrafopredeter"/>
    <w:uiPriority w:val="99"/>
    <w:unhideWhenUsed/>
    <w:rsid w:val="004C06E7"/>
    <w:rPr>
      <w:color w:val="0000FF" w:themeColor="hyperlink"/>
      <w:u w:val="single"/>
    </w:rPr>
  </w:style>
  <w:style w:type="character" w:customStyle="1" w:styleId="Ttulo1Car">
    <w:name w:val="Título 1 Car"/>
    <w:basedOn w:val="Fuentedeprrafopredeter"/>
    <w:link w:val="Ttulo1"/>
    <w:uiPriority w:val="9"/>
    <w:rsid w:val="002238D7"/>
    <w:rPr>
      <w:rFonts w:asciiTheme="majorHAnsi" w:eastAsiaTheme="majorEastAsia" w:hAnsiTheme="majorHAnsi" w:cstheme="majorBidi"/>
      <w:b/>
      <w:bCs/>
      <w:color w:val="365F91" w:themeColor="accent1" w:themeShade="BF"/>
      <w:sz w:val="28"/>
      <w:szCs w:val="28"/>
      <w:lang w:val="es-GT" w:eastAsia="en-US"/>
    </w:rPr>
  </w:style>
  <w:style w:type="paragraph" w:customStyle="1" w:styleId="Default">
    <w:name w:val="Default"/>
    <w:rsid w:val="002238D7"/>
    <w:pPr>
      <w:autoSpaceDE w:val="0"/>
      <w:autoSpaceDN w:val="0"/>
      <w:adjustRightInd w:val="0"/>
    </w:pPr>
    <w:rPr>
      <w:rFonts w:ascii="Times New Roman" w:eastAsiaTheme="minorHAnsi" w:hAnsi="Times New Roman" w:cs="Times New Roman"/>
      <w:color w:val="000000"/>
      <w:lang w:val="es-GT" w:eastAsia="en-US"/>
    </w:rPr>
  </w:style>
  <w:style w:type="table" w:styleId="Tablaconcuadrcula">
    <w:name w:val="Table Grid"/>
    <w:basedOn w:val="Tablanormal"/>
    <w:uiPriority w:val="59"/>
    <w:rsid w:val="002238D7"/>
    <w:rPr>
      <w:rFonts w:eastAsiaTheme="minorHAnsi"/>
      <w:sz w:val="22"/>
      <w:szCs w:val="22"/>
      <w:lang w:val="es-G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D41E8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C52F4"/>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746018"/>
    <w:pPr>
      <w:spacing w:before="120"/>
    </w:pPr>
    <w:rPr>
      <w:b/>
      <w:bCs/>
      <w:i/>
      <w:iCs/>
    </w:rPr>
  </w:style>
  <w:style w:type="paragraph" w:styleId="TDC2">
    <w:name w:val="toc 2"/>
    <w:basedOn w:val="Normal"/>
    <w:next w:val="Normal"/>
    <w:autoRedefine/>
    <w:uiPriority w:val="39"/>
    <w:unhideWhenUsed/>
    <w:rsid w:val="00746018"/>
    <w:pPr>
      <w:spacing w:before="120"/>
      <w:ind w:left="240"/>
    </w:pPr>
    <w:rPr>
      <w:b/>
      <w:bCs/>
      <w:sz w:val="22"/>
      <w:szCs w:val="22"/>
    </w:rPr>
  </w:style>
  <w:style w:type="paragraph" w:styleId="TDC3">
    <w:name w:val="toc 3"/>
    <w:basedOn w:val="Normal"/>
    <w:next w:val="Normal"/>
    <w:autoRedefine/>
    <w:uiPriority w:val="39"/>
    <w:unhideWhenUsed/>
    <w:rsid w:val="00746018"/>
    <w:pPr>
      <w:ind w:left="480"/>
    </w:pPr>
    <w:rPr>
      <w:sz w:val="20"/>
      <w:szCs w:val="20"/>
    </w:rPr>
  </w:style>
  <w:style w:type="paragraph" w:styleId="TDC4">
    <w:name w:val="toc 4"/>
    <w:basedOn w:val="Normal"/>
    <w:next w:val="Normal"/>
    <w:autoRedefine/>
    <w:uiPriority w:val="39"/>
    <w:unhideWhenUsed/>
    <w:rsid w:val="00746018"/>
    <w:pPr>
      <w:ind w:left="720"/>
    </w:pPr>
    <w:rPr>
      <w:sz w:val="20"/>
      <w:szCs w:val="20"/>
    </w:rPr>
  </w:style>
  <w:style w:type="paragraph" w:styleId="TDC5">
    <w:name w:val="toc 5"/>
    <w:basedOn w:val="Normal"/>
    <w:next w:val="Normal"/>
    <w:autoRedefine/>
    <w:uiPriority w:val="39"/>
    <w:unhideWhenUsed/>
    <w:rsid w:val="00746018"/>
    <w:pPr>
      <w:ind w:left="960"/>
    </w:pPr>
    <w:rPr>
      <w:sz w:val="20"/>
      <w:szCs w:val="20"/>
    </w:rPr>
  </w:style>
  <w:style w:type="paragraph" w:styleId="TDC6">
    <w:name w:val="toc 6"/>
    <w:basedOn w:val="Normal"/>
    <w:next w:val="Normal"/>
    <w:autoRedefine/>
    <w:uiPriority w:val="39"/>
    <w:unhideWhenUsed/>
    <w:rsid w:val="00746018"/>
    <w:pPr>
      <w:ind w:left="1200"/>
    </w:pPr>
    <w:rPr>
      <w:sz w:val="20"/>
      <w:szCs w:val="20"/>
    </w:rPr>
  </w:style>
  <w:style w:type="paragraph" w:styleId="TDC7">
    <w:name w:val="toc 7"/>
    <w:basedOn w:val="Normal"/>
    <w:next w:val="Normal"/>
    <w:autoRedefine/>
    <w:uiPriority w:val="39"/>
    <w:unhideWhenUsed/>
    <w:rsid w:val="00746018"/>
    <w:pPr>
      <w:ind w:left="1440"/>
    </w:pPr>
    <w:rPr>
      <w:sz w:val="20"/>
      <w:szCs w:val="20"/>
    </w:rPr>
  </w:style>
  <w:style w:type="paragraph" w:styleId="TDC8">
    <w:name w:val="toc 8"/>
    <w:basedOn w:val="Normal"/>
    <w:next w:val="Normal"/>
    <w:autoRedefine/>
    <w:uiPriority w:val="39"/>
    <w:unhideWhenUsed/>
    <w:rsid w:val="00746018"/>
    <w:pPr>
      <w:ind w:left="1680"/>
    </w:pPr>
    <w:rPr>
      <w:sz w:val="20"/>
      <w:szCs w:val="20"/>
    </w:rPr>
  </w:style>
  <w:style w:type="paragraph" w:styleId="TDC9">
    <w:name w:val="toc 9"/>
    <w:basedOn w:val="Normal"/>
    <w:next w:val="Normal"/>
    <w:autoRedefine/>
    <w:uiPriority w:val="39"/>
    <w:unhideWhenUsed/>
    <w:rsid w:val="0074601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8347">
      <w:bodyDiv w:val="1"/>
      <w:marLeft w:val="0"/>
      <w:marRight w:val="0"/>
      <w:marTop w:val="0"/>
      <w:marBottom w:val="0"/>
      <w:divBdr>
        <w:top w:val="none" w:sz="0" w:space="0" w:color="auto"/>
        <w:left w:val="none" w:sz="0" w:space="0" w:color="auto"/>
        <w:bottom w:val="none" w:sz="0" w:space="0" w:color="auto"/>
        <w:right w:val="none" w:sz="0" w:space="0" w:color="auto"/>
      </w:divBdr>
    </w:div>
    <w:div w:id="1367411417">
      <w:bodyDiv w:val="1"/>
      <w:marLeft w:val="0"/>
      <w:marRight w:val="0"/>
      <w:marTop w:val="0"/>
      <w:marBottom w:val="0"/>
      <w:divBdr>
        <w:top w:val="none" w:sz="0" w:space="0" w:color="auto"/>
        <w:left w:val="none" w:sz="0" w:space="0" w:color="auto"/>
        <w:bottom w:val="none" w:sz="0" w:space="0" w:color="auto"/>
        <w:right w:val="none" w:sz="0" w:space="0" w:color="auto"/>
      </w:divBdr>
    </w:div>
    <w:div w:id="1441300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4.png"/><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image" Target="media/image10.png"/><Relationship Id="rId42" Type="http://schemas.openxmlformats.org/officeDocument/2006/relationships/header" Target="header2.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3.png"/><Relationship Id="rId33" Type="http://schemas.openxmlformats.org/officeDocument/2006/relationships/image" Target="media/image9.png"/><Relationship Id="rId38" Type="http://schemas.openxmlformats.org/officeDocument/2006/relationships/image" Target="media/image1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6.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2.png"/><Relationship Id="rId32" Type="http://schemas.openxmlformats.org/officeDocument/2006/relationships/chart" Target="charts/chart17.xml"/><Relationship Id="rId37" Type="http://schemas.openxmlformats.org/officeDocument/2006/relationships/image" Target="media/image13.png"/><Relationship Id="rId40" Type="http://schemas.openxmlformats.org/officeDocument/2006/relationships/image" Target="media/image16.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image" Target="media/image12.png"/><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8.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6.xml"/><Relationship Id="rId30" Type="http://schemas.openxmlformats.org/officeDocument/2006/relationships/image" Target="media/image7.emf"/><Relationship Id="rId35" Type="http://schemas.openxmlformats.org/officeDocument/2006/relationships/image" Target="media/image11.png"/><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deleon.DC-DI01\Downloads\cuadros_y_graficas_IMAE%20(14).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6.xml.rels><?xml version="1.0" encoding="UTF-8" standalone="yes"?>
<Relationships xmlns="http://schemas.openxmlformats.org/package/2006/relationships"><Relationship Id="rId1" Type="http://schemas.openxmlformats.org/officeDocument/2006/relationships/oleObject" Target="file:///G:\Trabajo\2016\Excel\06%20Junio\Base%20informe%20al%2030%20de%20junio%202016.xlsx"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deleon.DC-DI01\Desktop\graficos%20para%20imformes%20mensual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573737803725904E-2"/>
          <c:y val="2.6350624770038911E-2"/>
          <c:w val="0.90409636233608037"/>
          <c:h val="0.69503660726619698"/>
        </c:manualLayout>
      </c:layout>
      <c:barChart>
        <c:barDir val="col"/>
        <c:grouping val="clustered"/>
        <c:varyColors val="0"/>
        <c:ser>
          <c:idx val="1"/>
          <c:order val="0"/>
          <c:tx>
            <c:v>IMAE Original (Interanual)</c:v>
          </c:tx>
          <c:spPr>
            <a:solidFill>
              <a:schemeClr val="accent5">
                <a:lumMod val="75000"/>
              </a:schemeClr>
            </a:solidFill>
            <a:ln w="41275" cap="sq">
              <a:noFill/>
              <a:miter lim="800000"/>
            </a:ln>
            <a:effectLst/>
            <a:scene3d>
              <a:camera prst="orthographicFront"/>
              <a:lightRig rig="threePt" dir="t"/>
            </a:scene3d>
            <a:sp3d/>
          </c:spPr>
          <c:invertIfNegative val="0"/>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38-4BEB-A781-F83CC6CB5898}"/>
                </c:ext>
              </c:extLst>
            </c:dLbl>
            <c:dLbl>
              <c:idx val="16"/>
              <c:layout>
                <c:manualLayout>
                  <c:x val="1.52574698029243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38-4BEB-A781-F83CC6CB5898}"/>
                </c:ext>
              </c:extLst>
            </c:dLbl>
            <c:dLbl>
              <c:idx val="2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38-4BEB-A781-F83CC6CB5898}"/>
                </c:ext>
              </c:extLst>
            </c:dLbl>
            <c:dLbl>
              <c:idx val="40"/>
              <c:layout>
                <c:manualLayout>
                  <c:x val="0"/>
                  <c:y val="-2.4938274089795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38-4BEB-A781-F83CC6CB5898}"/>
                </c:ext>
              </c:extLst>
            </c:dLbl>
            <c:dLbl>
              <c:idx val="52"/>
              <c:layout>
                <c:manualLayout>
                  <c:x val="6.79483864063990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38-4BEB-A781-F83CC6CB5898}"/>
                </c:ext>
              </c:extLst>
            </c:dLbl>
            <c:spPr>
              <a:noFill/>
              <a:ln>
                <a:noFill/>
              </a:ln>
              <a:effectLst/>
            </c:spPr>
            <c:txPr>
              <a:bodyPr/>
              <a:lstStyle/>
              <a:p>
                <a:pPr>
                  <a:defRPr b="1"/>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'[cuadros_y_graficas_IMAE (14).xlsx]IMAE agregado'!$M$141:$M$193</c:f>
              <c:strCache>
                <c:ptCount val="53"/>
                <c:pt idx="0">
                  <c:v>2012</c:v>
                </c:pt>
                <c:pt idx="1">
                  <c:v>Feb</c:v>
                </c:pt>
                <c:pt idx="2">
                  <c:v>Mar</c:v>
                </c:pt>
                <c:pt idx="3">
                  <c:v>Abr</c:v>
                </c:pt>
                <c:pt idx="4">
                  <c:v>May</c:v>
                </c:pt>
                <c:pt idx="5">
                  <c:v>Jun</c:v>
                </c:pt>
                <c:pt idx="6">
                  <c:v>Jul</c:v>
                </c:pt>
                <c:pt idx="7">
                  <c:v>Ago</c:v>
                </c:pt>
                <c:pt idx="8">
                  <c:v>Sep</c:v>
                </c:pt>
                <c:pt idx="9">
                  <c:v>Oct</c:v>
                </c:pt>
                <c:pt idx="10">
                  <c:v>Nov</c:v>
                </c:pt>
                <c:pt idx="11">
                  <c:v>Dic</c:v>
                </c:pt>
                <c:pt idx="12">
                  <c:v>2013</c:v>
                </c:pt>
                <c:pt idx="13">
                  <c:v>Feb</c:v>
                </c:pt>
                <c:pt idx="14">
                  <c:v>Mar</c:v>
                </c:pt>
                <c:pt idx="15">
                  <c:v>Abr</c:v>
                </c:pt>
                <c:pt idx="16">
                  <c:v>May</c:v>
                </c:pt>
                <c:pt idx="17">
                  <c:v>Jun</c:v>
                </c:pt>
                <c:pt idx="18">
                  <c:v>Jul</c:v>
                </c:pt>
                <c:pt idx="19">
                  <c:v>Ago</c:v>
                </c:pt>
                <c:pt idx="20">
                  <c:v>Sep</c:v>
                </c:pt>
                <c:pt idx="21">
                  <c:v>Oct</c:v>
                </c:pt>
                <c:pt idx="22">
                  <c:v>Nov</c:v>
                </c:pt>
                <c:pt idx="23">
                  <c:v>Dic</c:v>
                </c:pt>
                <c:pt idx="24">
                  <c:v>2014</c:v>
                </c:pt>
                <c:pt idx="25">
                  <c:v>Feb</c:v>
                </c:pt>
                <c:pt idx="26">
                  <c:v>Mar</c:v>
                </c:pt>
                <c:pt idx="27">
                  <c:v>Abr</c:v>
                </c:pt>
                <c:pt idx="28">
                  <c:v>May</c:v>
                </c:pt>
                <c:pt idx="29">
                  <c:v>Jun</c:v>
                </c:pt>
                <c:pt idx="30">
                  <c:v>Jul</c:v>
                </c:pt>
                <c:pt idx="31">
                  <c:v>Ago</c:v>
                </c:pt>
                <c:pt idx="32">
                  <c:v>Sep</c:v>
                </c:pt>
                <c:pt idx="33">
                  <c:v>Oct</c:v>
                </c:pt>
                <c:pt idx="34">
                  <c:v>Nov</c:v>
                </c:pt>
                <c:pt idx="35">
                  <c:v>Dic</c:v>
                </c:pt>
                <c:pt idx="36">
                  <c:v>2015</c:v>
                </c:pt>
                <c:pt idx="37">
                  <c:v>Feb</c:v>
                </c:pt>
                <c:pt idx="38">
                  <c:v>Mar</c:v>
                </c:pt>
                <c:pt idx="39">
                  <c:v>Abr</c:v>
                </c:pt>
                <c:pt idx="40">
                  <c:v>May</c:v>
                </c:pt>
                <c:pt idx="41">
                  <c:v>Jun</c:v>
                </c:pt>
                <c:pt idx="42">
                  <c:v>Jul</c:v>
                </c:pt>
                <c:pt idx="43">
                  <c:v>Ago</c:v>
                </c:pt>
                <c:pt idx="44">
                  <c:v>Sep</c:v>
                </c:pt>
                <c:pt idx="45">
                  <c:v>Oct</c:v>
                </c:pt>
                <c:pt idx="46">
                  <c:v>Nov</c:v>
                </c:pt>
                <c:pt idx="47">
                  <c:v>Dic</c:v>
                </c:pt>
                <c:pt idx="48">
                  <c:v>2016</c:v>
                </c:pt>
                <c:pt idx="49">
                  <c:v>Feb</c:v>
                </c:pt>
                <c:pt idx="50">
                  <c:v>Mar</c:v>
                </c:pt>
                <c:pt idx="51">
                  <c:v>Abr</c:v>
                </c:pt>
                <c:pt idx="52">
                  <c:v>May</c:v>
                </c:pt>
              </c:strCache>
            </c:strRef>
          </c:cat>
          <c:val>
            <c:numRef>
              <c:f>'[cuadros_y_graficas_IMAE (14).xlsx]IMAE agregado'!$D$141:$D$193</c:f>
              <c:numCache>
                <c:formatCode>#,##0.0_-;[Red]\-#,##0.0_-;"-"?_-;_-@_-</c:formatCode>
                <c:ptCount val="53"/>
                <c:pt idx="0">
                  <c:v>2.6477032985316526</c:v>
                </c:pt>
                <c:pt idx="1">
                  <c:v>3.9941118724184292</c:v>
                </c:pt>
                <c:pt idx="2">
                  <c:v>3.8508734421905331</c:v>
                </c:pt>
                <c:pt idx="3">
                  <c:v>1.4657472721757614</c:v>
                </c:pt>
                <c:pt idx="4">
                  <c:v>4.3757231410016999</c:v>
                </c:pt>
                <c:pt idx="5">
                  <c:v>2.5371198457601452</c:v>
                </c:pt>
                <c:pt idx="6">
                  <c:v>2.5858761949764357</c:v>
                </c:pt>
                <c:pt idx="7">
                  <c:v>2.6357474852521676</c:v>
                </c:pt>
                <c:pt idx="8">
                  <c:v>2.0141854277796085</c:v>
                </c:pt>
                <c:pt idx="9">
                  <c:v>4.5326639668511461</c:v>
                </c:pt>
                <c:pt idx="10">
                  <c:v>2.3359223350398679</c:v>
                </c:pt>
                <c:pt idx="11">
                  <c:v>2.7544614988402145</c:v>
                </c:pt>
                <c:pt idx="12">
                  <c:v>4.3119605106245302</c:v>
                </c:pt>
                <c:pt idx="13">
                  <c:v>3.6615376874699024</c:v>
                </c:pt>
                <c:pt idx="14">
                  <c:v>0.9538343641678324</c:v>
                </c:pt>
                <c:pt idx="15">
                  <c:v>7.2670372580549696</c:v>
                </c:pt>
                <c:pt idx="16">
                  <c:v>4.0232639239375203</c:v>
                </c:pt>
                <c:pt idx="17">
                  <c:v>2.9754540649701937</c:v>
                </c:pt>
                <c:pt idx="18">
                  <c:v>4.1404617625272522</c:v>
                </c:pt>
                <c:pt idx="19">
                  <c:v>4.2290780738703404</c:v>
                </c:pt>
                <c:pt idx="20">
                  <c:v>3.7895595756282745</c:v>
                </c:pt>
                <c:pt idx="21">
                  <c:v>3.4008219499767023</c:v>
                </c:pt>
                <c:pt idx="22">
                  <c:v>3.3718739513474816</c:v>
                </c:pt>
                <c:pt idx="23">
                  <c:v>2.5937585851487484</c:v>
                </c:pt>
                <c:pt idx="24">
                  <c:v>3.2234529415051441</c:v>
                </c:pt>
                <c:pt idx="25">
                  <c:v>1.8078151383623435</c:v>
                </c:pt>
                <c:pt idx="26">
                  <c:v>5.0422073072684555</c:v>
                </c:pt>
                <c:pt idx="27">
                  <c:v>4.0167585890283419</c:v>
                </c:pt>
                <c:pt idx="28">
                  <c:v>4.4953506293368406</c:v>
                </c:pt>
                <c:pt idx="29">
                  <c:v>4.7599251711880441</c:v>
                </c:pt>
                <c:pt idx="30">
                  <c:v>5.826038425572392</c:v>
                </c:pt>
                <c:pt idx="31">
                  <c:v>4.3533550788403801</c:v>
                </c:pt>
                <c:pt idx="32">
                  <c:v>3.9833521984976841</c:v>
                </c:pt>
                <c:pt idx="33">
                  <c:v>3.5486538710339772</c:v>
                </c:pt>
                <c:pt idx="34">
                  <c:v>4.4281093352730494</c:v>
                </c:pt>
                <c:pt idx="35">
                  <c:v>4.4108172041646299</c:v>
                </c:pt>
                <c:pt idx="36">
                  <c:v>5.1507398224284628</c:v>
                </c:pt>
                <c:pt idx="37">
                  <c:v>5.3740600199150919</c:v>
                </c:pt>
                <c:pt idx="38">
                  <c:v>4.5895030745531216</c:v>
                </c:pt>
                <c:pt idx="39">
                  <c:v>3.0970980997681892</c:v>
                </c:pt>
                <c:pt idx="40">
                  <c:v>3.4530392192551886</c:v>
                </c:pt>
                <c:pt idx="41">
                  <c:v>4.0473341100751838</c:v>
                </c:pt>
                <c:pt idx="42">
                  <c:v>4.3028500143491186</c:v>
                </c:pt>
                <c:pt idx="43">
                  <c:v>3.8683542896420562</c:v>
                </c:pt>
                <c:pt idx="44">
                  <c:v>3.7224588368880234</c:v>
                </c:pt>
                <c:pt idx="45">
                  <c:v>4.6773224328808993</c:v>
                </c:pt>
                <c:pt idx="46">
                  <c:v>3.7822123977919091</c:v>
                </c:pt>
                <c:pt idx="47">
                  <c:v>3.8892060895220339</c:v>
                </c:pt>
                <c:pt idx="48">
                  <c:v>3.2415328313647223</c:v>
                </c:pt>
                <c:pt idx="49">
                  <c:v>2.7609937170574739</c:v>
                </c:pt>
                <c:pt idx="50">
                  <c:v>2.4492368192170488</c:v>
                </c:pt>
                <c:pt idx="51">
                  <c:v>3.4923464590155504</c:v>
                </c:pt>
                <c:pt idx="52">
                  <c:v>3.5944463006938747</c:v>
                </c:pt>
              </c:numCache>
            </c:numRef>
          </c:val>
          <c:extLst>
            <c:ext xmlns:c16="http://schemas.microsoft.com/office/drawing/2014/chart" uri="{C3380CC4-5D6E-409C-BE32-E72D297353CC}">
              <c16:uniqueId val="{00000005-1338-4BEB-A781-F83CC6CB5898}"/>
            </c:ext>
          </c:extLst>
        </c:ser>
        <c:dLbls>
          <c:showLegendKey val="0"/>
          <c:showVal val="0"/>
          <c:showCatName val="0"/>
          <c:showSerName val="0"/>
          <c:showPercent val="0"/>
          <c:showBubbleSize val="0"/>
        </c:dLbls>
        <c:gapWidth val="50"/>
        <c:axId val="294356096"/>
        <c:axId val="294358016"/>
      </c:barChart>
      <c:lineChart>
        <c:grouping val="standard"/>
        <c:varyColors val="0"/>
        <c:ser>
          <c:idx val="3"/>
          <c:order val="1"/>
          <c:tx>
            <c:v>IMAE Tendencia Ciclo (Interanual)</c:v>
          </c:tx>
          <c:spPr>
            <a:ln w="22225" cmpd="sng">
              <a:solidFill>
                <a:schemeClr val="tx1"/>
              </a:solidFill>
              <a:prstDash val="solid"/>
            </a:ln>
          </c:spPr>
          <c:marker>
            <c:symbol val="none"/>
          </c:marker>
          <c:cat>
            <c:strRef>
              <c:f>'[cuadros_y_graficas_IMAE (14).xlsx]IMAE agregado'!$M$141:$M$193</c:f>
              <c:strCache>
                <c:ptCount val="53"/>
                <c:pt idx="0">
                  <c:v>2012</c:v>
                </c:pt>
                <c:pt idx="1">
                  <c:v>Feb</c:v>
                </c:pt>
                <c:pt idx="2">
                  <c:v>Mar</c:v>
                </c:pt>
                <c:pt idx="3">
                  <c:v>Abr</c:v>
                </c:pt>
                <c:pt idx="4">
                  <c:v>May</c:v>
                </c:pt>
                <c:pt idx="5">
                  <c:v>Jun</c:v>
                </c:pt>
                <c:pt idx="6">
                  <c:v>Jul</c:v>
                </c:pt>
                <c:pt idx="7">
                  <c:v>Ago</c:v>
                </c:pt>
                <c:pt idx="8">
                  <c:v>Sep</c:v>
                </c:pt>
                <c:pt idx="9">
                  <c:v>Oct</c:v>
                </c:pt>
                <c:pt idx="10">
                  <c:v>Nov</c:v>
                </c:pt>
                <c:pt idx="11">
                  <c:v>Dic</c:v>
                </c:pt>
                <c:pt idx="12">
                  <c:v>2013</c:v>
                </c:pt>
                <c:pt idx="13">
                  <c:v>Feb</c:v>
                </c:pt>
                <c:pt idx="14">
                  <c:v>Mar</c:v>
                </c:pt>
                <c:pt idx="15">
                  <c:v>Abr</c:v>
                </c:pt>
                <c:pt idx="16">
                  <c:v>May</c:v>
                </c:pt>
                <c:pt idx="17">
                  <c:v>Jun</c:v>
                </c:pt>
                <c:pt idx="18">
                  <c:v>Jul</c:v>
                </c:pt>
                <c:pt idx="19">
                  <c:v>Ago</c:v>
                </c:pt>
                <c:pt idx="20">
                  <c:v>Sep</c:v>
                </c:pt>
                <c:pt idx="21">
                  <c:v>Oct</c:v>
                </c:pt>
                <c:pt idx="22">
                  <c:v>Nov</c:v>
                </c:pt>
                <c:pt idx="23">
                  <c:v>Dic</c:v>
                </c:pt>
                <c:pt idx="24">
                  <c:v>2014</c:v>
                </c:pt>
                <c:pt idx="25">
                  <c:v>Feb</c:v>
                </c:pt>
                <c:pt idx="26">
                  <c:v>Mar</c:v>
                </c:pt>
                <c:pt idx="27">
                  <c:v>Abr</c:v>
                </c:pt>
                <c:pt idx="28">
                  <c:v>May</c:v>
                </c:pt>
                <c:pt idx="29">
                  <c:v>Jun</c:v>
                </c:pt>
                <c:pt idx="30">
                  <c:v>Jul</c:v>
                </c:pt>
                <c:pt idx="31">
                  <c:v>Ago</c:v>
                </c:pt>
                <c:pt idx="32">
                  <c:v>Sep</c:v>
                </c:pt>
                <c:pt idx="33">
                  <c:v>Oct</c:v>
                </c:pt>
                <c:pt idx="34">
                  <c:v>Nov</c:v>
                </c:pt>
                <c:pt idx="35">
                  <c:v>Dic</c:v>
                </c:pt>
                <c:pt idx="36">
                  <c:v>2015</c:v>
                </c:pt>
                <c:pt idx="37">
                  <c:v>Feb</c:v>
                </c:pt>
                <c:pt idx="38">
                  <c:v>Mar</c:v>
                </c:pt>
                <c:pt idx="39">
                  <c:v>Abr</c:v>
                </c:pt>
                <c:pt idx="40">
                  <c:v>May</c:v>
                </c:pt>
                <c:pt idx="41">
                  <c:v>Jun</c:v>
                </c:pt>
                <c:pt idx="42">
                  <c:v>Jul</c:v>
                </c:pt>
                <c:pt idx="43">
                  <c:v>Ago</c:v>
                </c:pt>
                <c:pt idx="44">
                  <c:v>Sep</c:v>
                </c:pt>
                <c:pt idx="45">
                  <c:v>Oct</c:v>
                </c:pt>
                <c:pt idx="46">
                  <c:v>Nov</c:v>
                </c:pt>
                <c:pt idx="47">
                  <c:v>Dic</c:v>
                </c:pt>
                <c:pt idx="48">
                  <c:v>2016</c:v>
                </c:pt>
                <c:pt idx="49">
                  <c:v>Feb</c:v>
                </c:pt>
                <c:pt idx="50">
                  <c:v>Mar</c:v>
                </c:pt>
                <c:pt idx="51">
                  <c:v>Abr</c:v>
                </c:pt>
                <c:pt idx="52">
                  <c:v>May</c:v>
                </c:pt>
              </c:strCache>
            </c:strRef>
          </c:cat>
          <c:val>
            <c:numRef>
              <c:f>'[cuadros_y_graficas_IMAE (14).xlsx]IMAE agregado'!$J$141:$J$193</c:f>
              <c:numCache>
                <c:formatCode>#,##0.0_-;[Red]\-#,##0.0_-;"-"?_-;_-@_-</c:formatCode>
                <c:ptCount val="53"/>
                <c:pt idx="0">
                  <c:v>2.9118593744664025</c:v>
                </c:pt>
                <c:pt idx="1">
                  <c:v>2.935074597101007</c:v>
                </c:pt>
                <c:pt idx="2">
                  <c:v>3.0583514176808251</c:v>
                </c:pt>
                <c:pt idx="3">
                  <c:v>3.1126950977790244</c:v>
                </c:pt>
                <c:pt idx="4">
                  <c:v>3.0452630482589598</c:v>
                </c:pt>
                <c:pt idx="5">
                  <c:v>2.8601064823514264</c:v>
                </c:pt>
                <c:pt idx="6">
                  <c:v>2.6412882395084836</c:v>
                </c:pt>
                <c:pt idx="7">
                  <c:v>2.5591957224558826</c:v>
                </c:pt>
                <c:pt idx="8">
                  <c:v>2.686974579369334</c:v>
                </c:pt>
                <c:pt idx="9">
                  <c:v>2.9512802494952979</c:v>
                </c:pt>
                <c:pt idx="10">
                  <c:v>3.2435750396993654</c:v>
                </c:pt>
                <c:pt idx="11">
                  <c:v>3.4879496246827983</c:v>
                </c:pt>
                <c:pt idx="12">
                  <c:v>3.6178707707509261</c:v>
                </c:pt>
                <c:pt idx="13">
                  <c:v>3.6347871891980361</c:v>
                </c:pt>
                <c:pt idx="14">
                  <c:v>3.5885562406882343</c:v>
                </c:pt>
                <c:pt idx="15">
                  <c:v>3.583877235644934</c:v>
                </c:pt>
                <c:pt idx="16">
                  <c:v>3.6228516609991601</c:v>
                </c:pt>
                <c:pt idx="17">
                  <c:v>3.6938008850165147</c:v>
                </c:pt>
                <c:pt idx="18">
                  <c:v>3.7767687012007798</c:v>
                </c:pt>
                <c:pt idx="19">
                  <c:v>3.7835769374640762</c:v>
                </c:pt>
                <c:pt idx="20">
                  <c:v>3.6701037482351779</c:v>
                </c:pt>
                <c:pt idx="21">
                  <c:v>3.4858394177846606</c:v>
                </c:pt>
                <c:pt idx="22">
                  <c:v>3.3057462385147147</c:v>
                </c:pt>
                <c:pt idx="23">
                  <c:v>3.1832608540291574</c:v>
                </c:pt>
                <c:pt idx="24">
                  <c:v>3.2079448447545786</c:v>
                </c:pt>
                <c:pt idx="25">
                  <c:v>3.4227465873556184</c:v>
                </c:pt>
                <c:pt idx="26">
                  <c:v>3.7919577378880689</c:v>
                </c:pt>
                <c:pt idx="27">
                  <c:v>4.193008444620915</c:v>
                </c:pt>
                <c:pt idx="28">
                  <c:v>4.5242192400488648</c:v>
                </c:pt>
                <c:pt idx="29">
                  <c:v>4.7144680769129366</c:v>
                </c:pt>
                <c:pt idx="30">
                  <c:v>4.7121529602133876</c:v>
                </c:pt>
                <c:pt idx="31">
                  <c:v>4.5930673137408888</c:v>
                </c:pt>
                <c:pt idx="32">
                  <c:v>4.4922164339714641</c:v>
                </c:pt>
                <c:pt idx="33">
                  <c:v>4.5041212527124657</c:v>
                </c:pt>
                <c:pt idx="34">
                  <c:v>4.6236746875106149</c:v>
                </c:pt>
                <c:pt idx="35">
                  <c:v>4.7961240757885975</c:v>
                </c:pt>
                <c:pt idx="36">
                  <c:v>4.9026377239000993</c:v>
                </c:pt>
                <c:pt idx="37">
                  <c:v>4.8536902940251139</c:v>
                </c:pt>
                <c:pt idx="38">
                  <c:v>4.6600889880102301</c:v>
                </c:pt>
                <c:pt idx="39">
                  <c:v>4.4186253626905057</c:v>
                </c:pt>
                <c:pt idx="40">
                  <c:v>4.2356540402625171</c:v>
                </c:pt>
                <c:pt idx="41">
                  <c:v>4.1531326618853655</c:v>
                </c:pt>
                <c:pt idx="42">
                  <c:v>4.1809460636961262</c:v>
                </c:pt>
                <c:pt idx="43">
                  <c:v>4.2496647745841045</c:v>
                </c:pt>
                <c:pt idx="44">
                  <c:v>4.2344631582127619</c:v>
                </c:pt>
                <c:pt idx="45">
                  <c:v>4.0717198591943458</c:v>
                </c:pt>
                <c:pt idx="46">
                  <c:v>3.7854282609424104</c:v>
                </c:pt>
                <c:pt idx="47">
                  <c:v>3.4310702891925189</c:v>
                </c:pt>
                <c:pt idx="48">
                  <c:v>3.0974793784914709</c:v>
                </c:pt>
                <c:pt idx="49">
                  <c:v>2.8554217500407049</c:v>
                </c:pt>
                <c:pt idx="50">
                  <c:v>2.7151937633234127</c:v>
                </c:pt>
                <c:pt idx="51">
                  <c:v>2.6626581607669806</c:v>
                </c:pt>
                <c:pt idx="52">
                  <c:v>2.6805094329751142</c:v>
                </c:pt>
              </c:numCache>
            </c:numRef>
          </c:val>
          <c:smooth val="0"/>
          <c:extLst>
            <c:ext xmlns:c16="http://schemas.microsoft.com/office/drawing/2014/chart" uri="{C3380CC4-5D6E-409C-BE32-E72D297353CC}">
              <c16:uniqueId val="{00000006-1338-4BEB-A781-F83CC6CB5898}"/>
            </c:ext>
          </c:extLst>
        </c:ser>
        <c:ser>
          <c:idx val="0"/>
          <c:order val="2"/>
          <c:tx>
            <c:v>IMAE Desestacionalizado (Intermensual)</c:v>
          </c:tx>
          <c:spPr>
            <a:ln w="15875">
              <a:solidFill>
                <a:srgbClr val="FF0000"/>
              </a:solidFill>
              <a:prstDash val="solid"/>
            </a:ln>
          </c:spPr>
          <c:marker>
            <c:symbol val="circle"/>
            <c:size val="3"/>
            <c:spPr>
              <a:solidFill>
                <a:srgbClr val="FF0000"/>
              </a:solidFill>
            </c:spPr>
          </c:marker>
          <c:cat>
            <c:strRef>
              <c:f>'[cuadros_y_graficas_IMAE (14).xlsx]IMAE agregado'!$M$141:$M$193</c:f>
              <c:strCache>
                <c:ptCount val="53"/>
                <c:pt idx="0">
                  <c:v>2012</c:v>
                </c:pt>
                <c:pt idx="1">
                  <c:v>Feb</c:v>
                </c:pt>
                <c:pt idx="2">
                  <c:v>Mar</c:v>
                </c:pt>
                <c:pt idx="3">
                  <c:v>Abr</c:v>
                </c:pt>
                <c:pt idx="4">
                  <c:v>May</c:v>
                </c:pt>
                <c:pt idx="5">
                  <c:v>Jun</c:v>
                </c:pt>
                <c:pt idx="6">
                  <c:v>Jul</c:v>
                </c:pt>
                <c:pt idx="7">
                  <c:v>Ago</c:v>
                </c:pt>
                <c:pt idx="8">
                  <c:v>Sep</c:v>
                </c:pt>
                <c:pt idx="9">
                  <c:v>Oct</c:v>
                </c:pt>
                <c:pt idx="10">
                  <c:v>Nov</c:v>
                </c:pt>
                <c:pt idx="11">
                  <c:v>Dic</c:v>
                </c:pt>
                <c:pt idx="12">
                  <c:v>2013</c:v>
                </c:pt>
                <c:pt idx="13">
                  <c:v>Feb</c:v>
                </c:pt>
                <c:pt idx="14">
                  <c:v>Mar</c:v>
                </c:pt>
                <c:pt idx="15">
                  <c:v>Abr</c:v>
                </c:pt>
                <c:pt idx="16">
                  <c:v>May</c:v>
                </c:pt>
                <c:pt idx="17">
                  <c:v>Jun</c:v>
                </c:pt>
                <c:pt idx="18">
                  <c:v>Jul</c:v>
                </c:pt>
                <c:pt idx="19">
                  <c:v>Ago</c:v>
                </c:pt>
                <c:pt idx="20">
                  <c:v>Sep</c:v>
                </c:pt>
                <c:pt idx="21">
                  <c:v>Oct</c:v>
                </c:pt>
                <c:pt idx="22">
                  <c:v>Nov</c:v>
                </c:pt>
                <c:pt idx="23">
                  <c:v>Dic</c:v>
                </c:pt>
                <c:pt idx="24">
                  <c:v>2014</c:v>
                </c:pt>
                <c:pt idx="25">
                  <c:v>Feb</c:v>
                </c:pt>
                <c:pt idx="26">
                  <c:v>Mar</c:v>
                </c:pt>
                <c:pt idx="27">
                  <c:v>Abr</c:v>
                </c:pt>
                <c:pt idx="28">
                  <c:v>May</c:v>
                </c:pt>
                <c:pt idx="29">
                  <c:v>Jun</c:v>
                </c:pt>
                <c:pt idx="30">
                  <c:v>Jul</c:v>
                </c:pt>
                <c:pt idx="31">
                  <c:v>Ago</c:v>
                </c:pt>
                <c:pt idx="32">
                  <c:v>Sep</c:v>
                </c:pt>
                <c:pt idx="33">
                  <c:v>Oct</c:v>
                </c:pt>
                <c:pt idx="34">
                  <c:v>Nov</c:v>
                </c:pt>
                <c:pt idx="35">
                  <c:v>Dic</c:v>
                </c:pt>
                <c:pt idx="36">
                  <c:v>2015</c:v>
                </c:pt>
                <c:pt idx="37">
                  <c:v>Feb</c:v>
                </c:pt>
                <c:pt idx="38">
                  <c:v>Mar</c:v>
                </c:pt>
                <c:pt idx="39">
                  <c:v>Abr</c:v>
                </c:pt>
                <c:pt idx="40">
                  <c:v>May</c:v>
                </c:pt>
                <c:pt idx="41">
                  <c:v>Jun</c:v>
                </c:pt>
                <c:pt idx="42">
                  <c:v>Jul</c:v>
                </c:pt>
                <c:pt idx="43">
                  <c:v>Ago</c:v>
                </c:pt>
                <c:pt idx="44">
                  <c:v>Sep</c:v>
                </c:pt>
                <c:pt idx="45">
                  <c:v>Oct</c:v>
                </c:pt>
                <c:pt idx="46">
                  <c:v>Nov</c:v>
                </c:pt>
                <c:pt idx="47">
                  <c:v>Dic</c:v>
                </c:pt>
                <c:pt idx="48">
                  <c:v>2016</c:v>
                </c:pt>
                <c:pt idx="49">
                  <c:v>Feb</c:v>
                </c:pt>
                <c:pt idx="50">
                  <c:v>Mar</c:v>
                </c:pt>
                <c:pt idx="51">
                  <c:v>Abr</c:v>
                </c:pt>
                <c:pt idx="52">
                  <c:v>May</c:v>
                </c:pt>
              </c:strCache>
            </c:strRef>
          </c:cat>
          <c:val>
            <c:numRef>
              <c:f>'[cuadros_y_graficas_IMAE (14).xlsx]IMAE agregado'!$G$141:$G$193</c:f>
              <c:numCache>
                <c:formatCode>#,##0.0_-;[Red]\-#,##0.0_-;"-"?_-;_-@_-</c:formatCode>
                <c:ptCount val="53"/>
                <c:pt idx="0">
                  <c:v>0.48489409129228989</c:v>
                </c:pt>
                <c:pt idx="1">
                  <c:v>0.62239676956255607</c:v>
                </c:pt>
                <c:pt idx="2">
                  <c:v>0.68982650516031185</c:v>
                </c:pt>
                <c:pt idx="3">
                  <c:v>-1.4358429561347208</c:v>
                </c:pt>
                <c:pt idx="4">
                  <c:v>1.5389637247829455</c:v>
                </c:pt>
                <c:pt idx="5">
                  <c:v>-8.1067429558629556E-2</c:v>
                </c:pt>
                <c:pt idx="6">
                  <c:v>0.19727589963594028</c:v>
                </c:pt>
                <c:pt idx="7">
                  <c:v>-0.27710147787416872</c:v>
                </c:pt>
                <c:pt idx="8">
                  <c:v>1.0762368595110843</c:v>
                </c:pt>
                <c:pt idx="9">
                  <c:v>1.2059072336388965</c:v>
                </c:pt>
                <c:pt idx="10">
                  <c:v>-0.68056086703633412</c:v>
                </c:pt>
                <c:pt idx="11">
                  <c:v>0.79065279132370847</c:v>
                </c:pt>
                <c:pt idx="12">
                  <c:v>0.19721503881065416</c:v>
                </c:pt>
                <c:pt idx="13">
                  <c:v>1.5868607839782527</c:v>
                </c:pt>
                <c:pt idx="14">
                  <c:v>-1.4760170956369905</c:v>
                </c:pt>
                <c:pt idx="15">
                  <c:v>1.4526273534712715</c:v>
                </c:pt>
                <c:pt idx="16">
                  <c:v>-0.55701403449917564</c:v>
                </c:pt>
                <c:pt idx="17">
                  <c:v>-0.24486529839286675</c:v>
                </c:pt>
                <c:pt idx="18">
                  <c:v>0.45953322373696892</c:v>
                </c:pt>
                <c:pt idx="19">
                  <c:v>0.46878541542231744</c:v>
                </c:pt>
                <c:pt idx="20">
                  <c:v>0.56378856300645452</c:v>
                </c:pt>
                <c:pt idx="21">
                  <c:v>-0.10093010395823399</c:v>
                </c:pt>
                <c:pt idx="22">
                  <c:v>0.54258996749358346</c:v>
                </c:pt>
                <c:pt idx="23">
                  <c:v>9.654676469776291E-2</c:v>
                </c:pt>
                <c:pt idx="24">
                  <c:v>0.17096982028554919</c:v>
                </c:pt>
                <c:pt idx="25">
                  <c:v>0.49620560214980003</c:v>
                </c:pt>
                <c:pt idx="26">
                  <c:v>1.0056584559722666</c:v>
                </c:pt>
                <c:pt idx="27">
                  <c:v>2.0533942395896787</c:v>
                </c:pt>
                <c:pt idx="28">
                  <c:v>-0.89191205246061145</c:v>
                </c:pt>
                <c:pt idx="29">
                  <c:v>0.10206830140484158</c:v>
                </c:pt>
                <c:pt idx="30">
                  <c:v>0.61307922595541697</c:v>
                </c:pt>
                <c:pt idx="31">
                  <c:v>-8.0055843687276251E-2</c:v>
                </c:pt>
                <c:pt idx="32">
                  <c:v>-9.1015630865683761E-2</c:v>
                </c:pt>
                <c:pt idx="33">
                  <c:v>-0.70357170080657738</c:v>
                </c:pt>
                <c:pt idx="34">
                  <c:v>1.6334633841993593</c:v>
                </c:pt>
                <c:pt idx="35">
                  <c:v>0.10219146537997403</c:v>
                </c:pt>
                <c:pt idx="36">
                  <c:v>1.0024679933069365</c:v>
                </c:pt>
                <c:pt idx="37">
                  <c:v>0.49330298815264939</c:v>
                </c:pt>
                <c:pt idx="38">
                  <c:v>3.0173361567094048E-2</c:v>
                </c:pt>
                <c:pt idx="39">
                  <c:v>0.13394622827880198</c:v>
                </c:pt>
                <c:pt idx="40">
                  <c:v>0.53361779623941175</c:v>
                </c:pt>
                <c:pt idx="41">
                  <c:v>0.18723667873273087</c:v>
                </c:pt>
                <c:pt idx="42">
                  <c:v>0.64229335634082929</c:v>
                </c:pt>
                <c:pt idx="43">
                  <c:v>0.3516675520383501</c:v>
                </c:pt>
                <c:pt idx="44">
                  <c:v>-0.56600054609306483</c:v>
                </c:pt>
                <c:pt idx="45">
                  <c:v>0.5523349211212718</c:v>
                </c:pt>
                <c:pt idx="46">
                  <c:v>0.21303275761606244</c:v>
                </c:pt>
                <c:pt idx="47">
                  <c:v>9.9483425901340183E-2</c:v>
                </c:pt>
                <c:pt idx="48">
                  <c:v>0.94796708226500925</c:v>
                </c:pt>
                <c:pt idx="49">
                  <c:v>-1.1044058233241572</c:v>
                </c:pt>
                <c:pt idx="50">
                  <c:v>0.84289569231479788</c:v>
                </c:pt>
                <c:pt idx="51">
                  <c:v>0.1858205717286836</c:v>
                </c:pt>
                <c:pt idx="52">
                  <c:v>1.1346096789186078</c:v>
                </c:pt>
              </c:numCache>
            </c:numRef>
          </c:val>
          <c:smooth val="1"/>
          <c:extLst>
            <c:ext xmlns:c16="http://schemas.microsoft.com/office/drawing/2014/chart" uri="{C3380CC4-5D6E-409C-BE32-E72D297353CC}">
              <c16:uniqueId val="{00000007-1338-4BEB-A781-F83CC6CB5898}"/>
            </c:ext>
          </c:extLst>
        </c:ser>
        <c:dLbls>
          <c:showLegendKey val="0"/>
          <c:showVal val="0"/>
          <c:showCatName val="0"/>
          <c:showSerName val="0"/>
          <c:showPercent val="0"/>
          <c:showBubbleSize val="0"/>
        </c:dLbls>
        <c:marker val="1"/>
        <c:smooth val="0"/>
        <c:axId val="294356096"/>
        <c:axId val="294358016"/>
      </c:lineChart>
      <c:catAx>
        <c:axId val="294356096"/>
        <c:scaling>
          <c:orientation val="minMax"/>
        </c:scaling>
        <c:delete val="0"/>
        <c:axPos val="b"/>
        <c:majorGridlines>
          <c:spPr>
            <a:ln>
              <a:solidFill>
                <a:schemeClr val="bg1">
                  <a:lumMod val="65000"/>
                </a:schemeClr>
              </a:solidFill>
              <a:prstDash val="dash"/>
            </a:ln>
          </c:spPr>
        </c:majorGridlines>
        <c:numFmt formatCode="General" sourceLinked="1"/>
        <c:majorTickMark val="out"/>
        <c:minorTickMark val="none"/>
        <c:tickLblPos val="low"/>
        <c:spPr>
          <a:ln w="19050">
            <a:solidFill>
              <a:srgbClr val="000000"/>
            </a:solidFill>
          </a:ln>
        </c:spPr>
        <c:txPr>
          <a:bodyPr rot="-5400000" vert="horz"/>
          <a:lstStyle/>
          <a:p>
            <a:pPr>
              <a:defRPr sz="700"/>
            </a:pPr>
            <a:endParaRPr lang="es-GT"/>
          </a:p>
        </c:txPr>
        <c:crossAx val="294358016"/>
        <c:crosses val="autoZero"/>
        <c:auto val="1"/>
        <c:lblAlgn val="ctr"/>
        <c:lblOffset val="100"/>
        <c:tickMarkSkip val="12"/>
        <c:noMultiLvlLbl val="0"/>
      </c:catAx>
      <c:valAx>
        <c:axId val="294358016"/>
        <c:scaling>
          <c:orientation val="minMax"/>
          <c:max val="10"/>
          <c:min val="-5"/>
        </c:scaling>
        <c:delete val="0"/>
        <c:axPos val="l"/>
        <c:numFmt formatCode="#,##0.0" sourceLinked="0"/>
        <c:majorTickMark val="out"/>
        <c:minorTickMark val="none"/>
        <c:tickLblPos val="nextTo"/>
        <c:crossAx val="294356096"/>
        <c:crosses val="autoZero"/>
        <c:crossBetween val="between"/>
        <c:majorUnit val="1"/>
      </c:valAx>
      <c:spPr>
        <a:noFill/>
        <a:ln w="25400">
          <a:noFill/>
        </a:ln>
      </c:spPr>
    </c:plotArea>
    <c:legend>
      <c:legendPos val="b"/>
      <c:layout>
        <c:manualLayout>
          <c:xMode val="edge"/>
          <c:yMode val="edge"/>
          <c:x val="6.017732398834761E-2"/>
          <c:y val="0.87526252469974986"/>
          <c:w val="0.89999998845746609"/>
          <c:h val="0.10164018971312797"/>
        </c:manualLayout>
      </c:layout>
      <c:overlay val="0"/>
      <c:txPr>
        <a:bodyPr/>
        <a:lstStyle/>
        <a:p>
          <a:pPr>
            <a:defRPr sz="800"/>
          </a:pPr>
          <a:endParaRPr lang="es-GT"/>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02579014806894"/>
          <c:y val="3.6022059742532177E-2"/>
          <c:w val="0.81288627289924786"/>
          <c:h val="0.83469768997443294"/>
        </c:manualLayout>
      </c:layout>
      <c:lineChart>
        <c:grouping val="standard"/>
        <c:varyColors val="0"/>
        <c:ser>
          <c:idx val="0"/>
          <c:order val="0"/>
          <c:tx>
            <c:strRef>
              <c:f>Hoja1!$B$1</c:f>
              <c:strCache>
                <c:ptCount val="1"/>
                <c:pt idx="0">
                  <c:v>ISR/PIB</c:v>
                </c:pt>
              </c:strCache>
            </c:strRef>
          </c:tx>
          <c:marker>
            <c:symbol val="circle"/>
            <c:size val="6"/>
          </c:marker>
          <c:dLbls>
            <c:dLbl>
              <c:idx val="1"/>
              <c:layout>
                <c:manualLayout>
                  <c:x val="-4.2689835767232377E-2"/>
                  <c:y val="-6.805555555555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8F-42BA-AAEF-E55EA6F9F812}"/>
                </c:ext>
              </c:extLst>
            </c:dLbl>
            <c:dLbl>
              <c:idx val="2"/>
              <c:layout>
                <c:manualLayout>
                  <c:x val="-1.4999131485784349E-2"/>
                  <c:y val="6.5277777777777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8F-42BA-AAEF-E55EA6F9F812}"/>
                </c:ext>
              </c:extLst>
            </c:dLbl>
            <c:dLbl>
              <c:idx val="3"/>
              <c:layout>
                <c:manualLayout>
                  <c:x val="-0.13960730075230046"/>
                  <c:y val="-5.1388888888888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8F-42BA-AAEF-E55EA6F9F812}"/>
                </c:ext>
              </c:extLst>
            </c:dLbl>
            <c:dLbl>
              <c:idx val="4"/>
              <c:layout>
                <c:manualLayout>
                  <c:x val="-4.7304953147473711E-2"/>
                  <c:y val="6.5277777777777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8F-42BA-AAEF-E55EA6F9F812}"/>
                </c:ext>
              </c:extLst>
            </c:dLbl>
            <c:dLbl>
              <c:idx val="5"/>
              <c:layout>
                <c:manualLayout>
                  <c:x val="-0.14883753551278314"/>
                  <c:y val="-4.583333333333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8F-42BA-AAEF-E55EA6F9F812}"/>
                </c:ext>
              </c:extLst>
            </c:dLbl>
            <c:dLbl>
              <c:idx val="6"/>
              <c:layout>
                <c:manualLayout>
                  <c:x val="-0.11191659647085253"/>
                  <c:y val="9.35988626421697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8F-42BA-AAEF-E55EA6F9F812}"/>
                </c:ext>
              </c:extLst>
            </c:dLbl>
            <c:dLbl>
              <c:idx val="7"/>
              <c:layout>
                <c:manualLayout>
                  <c:x val="-8.4225892189404419E-2"/>
                  <c:y val="7.08333333333333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8F-42BA-AAEF-E55EA6F9F812}"/>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Hoja1!$B$2:$B$10</c:f>
              <c:numCache>
                <c:formatCode>0.0%</c:formatCode>
                <c:ptCount val="9"/>
                <c:pt idx="0">
                  <c:v>1.2561196330163601E-2</c:v>
                </c:pt>
                <c:pt idx="1">
                  <c:v>1.1429486184540791E-2</c:v>
                </c:pt>
                <c:pt idx="2">
                  <c:v>1.1172241779632979E-2</c:v>
                </c:pt>
                <c:pt idx="3">
                  <c:v>1.3653211921136698E-2</c:v>
                </c:pt>
                <c:pt idx="4">
                  <c:v>1.3099566024781935E-2</c:v>
                </c:pt>
                <c:pt idx="5">
                  <c:v>1.5158201049072116E-2</c:v>
                </c:pt>
                <c:pt idx="6">
                  <c:v>1.5545989365113484E-2</c:v>
                </c:pt>
                <c:pt idx="7">
                  <c:v>1.3980009542668629E-2</c:v>
                </c:pt>
                <c:pt idx="8">
                  <c:v>1.47810340486142E-2</c:v>
                </c:pt>
              </c:numCache>
            </c:numRef>
          </c:val>
          <c:smooth val="1"/>
          <c:extLst>
            <c:ext xmlns:c16="http://schemas.microsoft.com/office/drawing/2014/chart" uri="{C3380CC4-5D6E-409C-BE32-E72D297353CC}">
              <c16:uniqueId val="{00000007-458F-42BA-AAEF-E55EA6F9F812}"/>
            </c:ext>
          </c:extLst>
        </c:ser>
        <c:dLbls>
          <c:showLegendKey val="0"/>
          <c:showVal val="0"/>
          <c:showCatName val="0"/>
          <c:showSerName val="0"/>
          <c:showPercent val="0"/>
          <c:showBubbleSize val="0"/>
        </c:dLbls>
        <c:marker val="1"/>
        <c:smooth val="0"/>
        <c:axId val="299324160"/>
        <c:axId val="299325696"/>
      </c:lineChart>
      <c:catAx>
        <c:axId val="299324160"/>
        <c:scaling>
          <c:orientation val="minMax"/>
        </c:scaling>
        <c:delete val="0"/>
        <c:axPos val="b"/>
        <c:numFmt formatCode="General" sourceLinked="1"/>
        <c:majorTickMark val="out"/>
        <c:minorTickMark val="none"/>
        <c:tickLblPos val="nextTo"/>
        <c:txPr>
          <a:bodyPr/>
          <a:lstStyle/>
          <a:p>
            <a:pPr>
              <a:defRPr sz="800"/>
            </a:pPr>
            <a:endParaRPr lang="es-GT"/>
          </a:p>
        </c:txPr>
        <c:crossAx val="299325696"/>
        <c:crosses val="autoZero"/>
        <c:auto val="1"/>
        <c:lblAlgn val="ctr"/>
        <c:lblOffset val="100"/>
        <c:noMultiLvlLbl val="0"/>
      </c:catAx>
      <c:valAx>
        <c:axId val="299325696"/>
        <c:scaling>
          <c:orientation val="minMax"/>
          <c:min val="1.0000000000000002E-2"/>
        </c:scaling>
        <c:delete val="0"/>
        <c:axPos val="l"/>
        <c:numFmt formatCode="0.0%" sourceLinked="1"/>
        <c:majorTickMark val="out"/>
        <c:minorTickMark val="none"/>
        <c:tickLblPos val="nextTo"/>
        <c:crossAx val="299324160"/>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2173178037719"/>
          <c:y val="6.168066491688539E-2"/>
          <c:w val="0.80055977356134667"/>
          <c:h val="0.54226596675415573"/>
        </c:manualLayout>
      </c:layout>
      <c:lineChart>
        <c:grouping val="standard"/>
        <c:varyColors val="0"/>
        <c:ser>
          <c:idx val="0"/>
          <c:order val="0"/>
          <c:tx>
            <c:strRef>
              <c:f>Hoja1!$B$1</c:f>
              <c:strCache>
                <c:ptCount val="1"/>
                <c:pt idx="0">
                  <c:v>Serie 1</c:v>
                </c:pt>
              </c:strCache>
            </c:strRef>
          </c:tx>
          <c:marker>
            <c:symbol val="circle"/>
            <c:size val="5"/>
          </c:marker>
          <c:dLbls>
            <c:dLbl>
              <c:idx val="1"/>
              <c:layout>
                <c:manualLayout>
                  <c:x val="-7.1534293398531235E-2"/>
                  <c:y val="-6.44444444444444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F4-4501-B34F-10158FAD2980}"/>
                </c:ext>
              </c:extLst>
            </c:dLbl>
            <c:dLbl>
              <c:idx val="2"/>
              <c:layout>
                <c:manualLayout>
                  <c:x val="-1.1537789257827618E-2"/>
                  <c:y val="-2.55555555555555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F4-4501-B34F-10158FAD2980}"/>
                </c:ext>
              </c:extLst>
            </c:dLbl>
            <c:dLbl>
              <c:idx val="4"/>
              <c:layout>
                <c:manualLayout>
                  <c:x val="-3.8421746715909103E-3"/>
                  <c:y val="-7.55555555555555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F4-4501-B34F-10158FAD2980}"/>
                </c:ext>
              </c:extLst>
            </c:dLbl>
            <c:spPr>
              <a:noFill/>
              <a:ln>
                <a:noFill/>
              </a:ln>
              <a:effectLst/>
            </c:spPr>
            <c:txPr>
              <a:bodyPr/>
              <a:lstStyle/>
              <a:p>
                <a:pPr>
                  <a:defRPr sz="800" b="1">
                    <a:solidFill>
                      <a:srgbClr val="0070C0"/>
                    </a:solidFill>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Hoja1!$A$2:$A$6</c:f>
              <c:strCache>
                <c:ptCount val="5"/>
                <c:pt idx="0">
                  <c:v>Rentas de Actividades Lucrativas</c:v>
                </c:pt>
                <c:pt idx="1">
                  <c:v>Relación de dependencia</c:v>
                </c:pt>
                <c:pt idx="2">
                  <c:v>Retención a no Domiciliados 
(no residentes)</c:v>
                </c:pt>
                <c:pt idx="3">
                  <c:v>Otros Ingresos</c:v>
                </c:pt>
                <c:pt idx="4">
                  <c:v>Impuesto sobre Productos Financieros y Rentas de Capital/4</c:v>
                </c:pt>
              </c:strCache>
            </c:strRef>
          </c:cat>
          <c:val>
            <c:numRef>
              <c:f>Hoja1!$B$2:$B$6</c:f>
              <c:numCache>
                <c:formatCode>0.0%</c:formatCode>
                <c:ptCount val="5"/>
                <c:pt idx="0">
                  <c:v>-1.7975843168542505E-2</c:v>
                </c:pt>
                <c:pt idx="1">
                  <c:v>0.11469194874107758</c:v>
                </c:pt>
                <c:pt idx="2">
                  <c:v>0.32339990885204695</c:v>
                </c:pt>
                <c:pt idx="3">
                  <c:v>7.66</c:v>
                </c:pt>
                <c:pt idx="4">
                  <c:v>-6.4551722810598511E-3</c:v>
                </c:pt>
              </c:numCache>
            </c:numRef>
          </c:val>
          <c:smooth val="1"/>
          <c:extLst>
            <c:ext xmlns:c16="http://schemas.microsoft.com/office/drawing/2014/chart" uri="{C3380CC4-5D6E-409C-BE32-E72D297353CC}">
              <c16:uniqueId val="{00000003-AFF4-4501-B34F-10158FAD2980}"/>
            </c:ext>
          </c:extLst>
        </c:ser>
        <c:dLbls>
          <c:showLegendKey val="0"/>
          <c:showVal val="0"/>
          <c:showCatName val="0"/>
          <c:showSerName val="0"/>
          <c:showPercent val="0"/>
          <c:showBubbleSize val="0"/>
        </c:dLbls>
        <c:marker val="1"/>
        <c:smooth val="0"/>
        <c:axId val="299423616"/>
        <c:axId val="299425152"/>
      </c:lineChart>
      <c:catAx>
        <c:axId val="299423616"/>
        <c:scaling>
          <c:orientation val="minMax"/>
        </c:scaling>
        <c:delete val="0"/>
        <c:axPos val="b"/>
        <c:numFmt formatCode="General" sourceLinked="0"/>
        <c:majorTickMark val="out"/>
        <c:minorTickMark val="none"/>
        <c:tickLblPos val="low"/>
        <c:txPr>
          <a:bodyPr/>
          <a:lstStyle/>
          <a:p>
            <a:pPr>
              <a:defRPr sz="900"/>
            </a:pPr>
            <a:endParaRPr lang="es-GT"/>
          </a:p>
        </c:txPr>
        <c:crossAx val="299425152"/>
        <c:crosses val="autoZero"/>
        <c:auto val="1"/>
        <c:lblAlgn val="ctr"/>
        <c:lblOffset val="100"/>
        <c:noMultiLvlLbl val="0"/>
      </c:catAx>
      <c:valAx>
        <c:axId val="299425152"/>
        <c:scaling>
          <c:orientation val="minMax"/>
        </c:scaling>
        <c:delete val="0"/>
        <c:axPos val="l"/>
        <c:numFmt formatCode="0%" sourceLinked="0"/>
        <c:majorTickMark val="out"/>
        <c:minorTickMark val="none"/>
        <c:tickLblPos val="nextTo"/>
        <c:crossAx val="29942361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02579014806894"/>
          <c:y val="3.6022059742532177E-2"/>
          <c:w val="0.81288627289924786"/>
          <c:h val="0.72819641294838133"/>
        </c:manualLayout>
      </c:layout>
      <c:lineChart>
        <c:grouping val="standard"/>
        <c:varyColors val="0"/>
        <c:ser>
          <c:idx val="0"/>
          <c:order val="0"/>
          <c:tx>
            <c:strRef>
              <c:f>Hoja1!$B$1</c:f>
              <c:strCache>
                <c:ptCount val="1"/>
                <c:pt idx="0">
                  <c:v>ISR/PIB</c:v>
                </c:pt>
              </c:strCache>
            </c:strRef>
          </c:tx>
          <c:marker>
            <c:symbol val="circle"/>
            <c:size val="6"/>
          </c:marker>
          <c:dLbls>
            <c:dLbl>
              <c:idx val="1"/>
              <c:layout>
                <c:manualLayout>
                  <c:x val="-4.2689835767232377E-2"/>
                  <c:y val="-6.805555555555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38-47E6-A886-8703BB29EEEF}"/>
                </c:ext>
              </c:extLst>
            </c:dLbl>
            <c:dLbl>
              <c:idx val="2"/>
              <c:layout>
                <c:manualLayout>
                  <c:x val="-1.4999131485784349E-2"/>
                  <c:y val="6.5277777777777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38-47E6-A886-8703BB29EEEF}"/>
                </c:ext>
              </c:extLst>
            </c:dLbl>
            <c:dLbl>
              <c:idx val="3"/>
              <c:layout>
                <c:manualLayout>
                  <c:x val="-0.13960730075230046"/>
                  <c:y val="-5.1388888888888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38-47E6-A886-8703BB29EEEF}"/>
                </c:ext>
              </c:extLst>
            </c:dLbl>
            <c:dLbl>
              <c:idx val="4"/>
              <c:layout>
                <c:manualLayout>
                  <c:x val="-4.7304953147473711E-2"/>
                  <c:y val="6.52777777777777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38-47E6-A886-8703BB29EEEF}"/>
                </c:ext>
              </c:extLst>
            </c:dLbl>
            <c:dLbl>
              <c:idx val="5"/>
              <c:layout>
                <c:manualLayout>
                  <c:x val="-0.14883753551278314"/>
                  <c:y val="-4.583333333333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38-47E6-A886-8703BB29EEEF}"/>
                </c:ext>
              </c:extLst>
            </c:dLbl>
            <c:dLbl>
              <c:idx val="6"/>
              <c:layout>
                <c:manualLayout>
                  <c:x val="-0.11191659647085253"/>
                  <c:y val="9.35988626421697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38-47E6-A886-8703BB29EEEF}"/>
                </c:ext>
              </c:extLst>
            </c:dLbl>
            <c:dLbl>
              <c:idx val="7"/>
              <c:layout>
                <c:manualLayout>
                  <c:x val="-2.8837106185636327E-2"/>
                  <c:y val="-6.805555555555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38-47E6-A886-8703BB29EEEF}"/>
                </c:ext>
              </c:extLst>
            </c:dLbl>
            <c:dLbl>
              <c:idx val="8"/>
              <c:layout>
                <c:manualLayout>
                  <c:x val="0"/>
                  <c:y val="8.19444444444444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38-47E6-A886-8703BB29EEEF}"/>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Hoja1!$B$2:$B$10</c:f>
              <c:numCache>
                <c:formatCode>0.0%</c:formatCode>
                <c:ptCount val="9"/>
                <c:pt idx="0">
                  <c:v>1.2561196330163601E-2</c:v>
                </c:pt>
                <c:pt idx="1">
                  <c:v>1.1429486184540791E-2</c:v>
                </c:pt>
                <c:pt idx="2">
                  <c:v>1.1172241779632979E-2</c:v>
                </c:pt>
                <c:pt idx="3">
                  <c:v>1.3653211921136698E-2</c:v>
                </c:pt>
                <c:pt idx="4">
                  <c:v>1.3099566024781935E-2</c:v>
                </c:pt>
                <c:pt idx="5">
                  <c:v>1.5158201049072116E-2</c:v>
                </c:pt>
                <c:pt idx="6">
                  <c:v>1.5545989365113484E-2</c:v>
                </c:pt>
                <c:pt idx="7" formatCode="0.00%">
                  <c:v>1.3980009542668629E-2</c:v>
                </c:pt>
                <c:pt idx="8" formatCode="0.00%">
                  <c:v>1.3652317934015168E-2</c:v>
                </c:pt>
              </c:numCache>
            </c:numRef>
          </c:val>
          <c:smooth val="1"/>
          <c:extLst>
            <c:ext xmlns:c16="http://schemas.microsoft.com/office/drawing/2014/chart" uri="{C3380CC4-5D6E-409C-BE32-E72D297353CC}">
              <c16:uniqueId val="{00000008-7338-47E6-A886-8703BB29EEEF}"/>
            </c:ext>
          </c:extLst>
        </c:ser>
        <c:dLbls>
          <c:showLegendKey val="0"/>
          <c:showVal val="0"/>
          <c:showCatName val="0"/>
          <c:showSerName val="0"/>
          <c:showPercent val="0"/>
          <c:showBubbleSize val="0"/>
        </c:dLbls>
        <c:marker val="1"/>
        <c:smooth val="0"/>
        <c:axId val="299719680"/>
        <c:axId val="299741952"/>
      </c:lineChart>
      <c:catAx>
        <c:axId val="299719680"/>
        <c:scaling>
          <c:orientation val="minMax"/>
        </c:scaling>
        <c:delete val="0"/>
        <c:axPos val="b"/>
        <c:numFmt formatCode="General" sourceLinked="1"/>
        <c:majorTickMark val="out"/>
        <c:minorTickMark val="none"/>
        <c:tickLblPos val="nextTo"/>
        <c:crossAx val="299741952"/>
        <c:crosses val="autoZero"/>
        <c:auto val="1"/>
        <c:lblAlgn val="ctr"/>
        <c:lblOffset val="100"/>
        <c:noMultiLvlLbl val="0"/>
      </c:catAx>
      <c:valAx>
        <c:axId val="299741952"/>
        <c:scaling>
          <c:orientation val="minMax"/>
          <c:min val="1.0000000000000002E-2"/>
        </c:scaling>
        <c:delete val="0"/>
        <c:axPos val="l"/>
        <c:numFmt formatCode="0.0%" sourceLinked="1"/>
        <c:majorTickMark val="out"/>
        <c:minorTickMark val="none"/>
        <c:tickLblPos val="nextTo"/>
        <c:crossAx val="299719680"/>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2173178037719"/>
          <c:y val="6.9652668416447946E-2"/>
          <c:w val="0.80055977356134667"/>
          <c:h val="0.43926596675415575"/>
        </c:manualLayout>
      </c:layout>
      <c:lineChart>
        <c:grouping val="standard"/>
        <c:varyColors val="0"/>
        <c:ser>
          <c:idx val="0"/>
          <c:order val="0"/>
          <c:tx>
            <c:strRef>
              <c:f>Hoja1!$B$1</c:f>
              <c:strCache>
                <c:ptCount val="1"/>
                <c:pt idx="0">
                  <c:v>Serie 1</c:v>
                </c:pt>
              </c:strCache>
            </c:strRef>
          </c:tx>
          <c:marker>
            <c:symbol val="circle"/>
            <c:size val="5"/>
          </c:marker>
          <c:dLbls>
            <c:dLbl>
              <c:idx val="1"/>
              <c:layout>
                <c:manualLayout>
                  <c:x val="-0.14537650804356525"/>
                  <c:y val="-7.00000000000000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66-40D7-943C-56CC4F7DC20C}"/>
                </c:ext>
              </c:extLst>
            </c:dLbl>
            <c:dLbl>
              <c:idx val="2"/>
              <c:layout>
                <c:manualLayout>
                  <c:x val="-2.0768384059027051E-2"/>
                  <c:y val="2.9999562554680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66-40D7-943C-56CC4F7DC20C}"/>
                </c:ext>
              </c:extLst>
            </c:dLbl>
            <c:dLbl>
              <c:idx val="4"/>
              <c:layout>
                <c:manualLayout>
                  <c:x val="-0.119220067249867"/>
                  <c:y val="-5.33333333333333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66-40D7-943C-56CC4F7DC20C}"/>
                </c:ext>
              </c:extLst>
            </c:dLbl>
            <c:spPr>
              <a:noFill/>
              <a:ln>
                <a:noFill/>
              </a:ln>
              <a:effectLst/>
            </c:spPr>
            <c:txPr>
              <a:bodyPr/>
              <a:lstStyle/>
              <a:p>
                <a:pPr>
                  <a:defRPr sz="800" b="1">
                    <a:solidFill>
                      <a:srgbClr val="0070C0"/>
                    </a:solidFill>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Hoja1!$A$2:$A$6</c:f>
              <c:strCache>
                <c:ptCount val="5"/>
                <c:pt idx="0">
                  <c:v>Rentas de Actividades Lucrativas</c:v>
                </c:pt>
                <c:pt idx="1">
                  <c:v>Relación de dependencia</c:v>
                </c:pt>
                <c:pt idx="2">
                  <c:v>Retención a no Domiciliados 
(no residentes)</c:v>
                </c:pt>
                <c:pt idx="3">
                  <c:v>Otros Ingresos</c:v>
                </c:pt>
                <c:pt idx="4">
                  <c:v>Impuesto sobre Productos Financieros y Rentas de Capital/4</c:v>
                </c:pt>
              </c:strCache>
            </c:strRef>
          </c:cat>
          <c:val>
            <c:numRef>
              <c:f>Hoja1!$B$2:$B$6</c:f>
              <c:numCache>
                <c:formatCode>0.0%</c:formatCode>
                <c:ptCount val="5"/>
                <c:pt idx="0">
                  <c:v>-1.7975843168542505E-2</c:v>
                </c:pt>
                <c:pt idx="1">
                  <c:v>0.11469194874107758</c:v>
                </c:pt>
                <c:pt idx="2">
                  <c:v>0.32339990885204695</c:v>
                </c:pt>
                <c:pt idx="3">
                  <c:v>0.46467469440267206</c:v>
                </c:pt>
                <c:pt idx="4">
                  <c:v>-6.4551722810598511E-3</c:v>
                </c:pt>
              </c:numCache>
            </c:numRef>
          </c:val>
          <c:smooth val="1"/>
          <c:extLst>
            <c:ext xmlns:c16="http://schemas.microsoft.com/office/drawing/2014/chart" uri="{C3380CC4-5D6E-409C-BE32-E72D297353CC}">
              <c16:uniqueId val="{00000003-2266-40D7-943C-56CC4F7DC20C}"/>
            </c:ext>
          </c:extLst>
        </c:ser>
        <c:dLbls>
          <c:showLegendKey val="0"/>
          <c:showVal val="0"/>
          <c:showCatName val="0"/>
          <c:showSerName val="0"/>
          <c:showPercent val="0"/>
          <c:showBubbleSize val="0"/>
        </c:dLbls>
        <c:marker val="1"/>
        <c:smooth val="0"/>
        <c:axId val="299774336"/>
        <c:axId val="299775872"/>
      </c:lineChart>
      <c:catAx>
        <c:axId val="299774336"/>
        <c:scaling>
          <c:orientation val="minMax"/>
        </c:scaling>
        <c:delete val="0"/>
        <c:axPos val="b"/>
        <c:numFmt formatCode="General" sourceLinked="0"/>
        <c:majorTickMark val="out"/>
        <c:minorTickMark val="none"/>
        <c:tickLblPos val="low"/>
        <c:txPr>
          <a:bodyPr/>
          <a:lstStyle/>
          <a:p>
            <a:pPr>
              <a:defRPr sz="900"/>
            </a:pPr>
            <a:endParaRPr lang="es-GT"/>
          </a:p>
        </c:txPr>
        <c:crossAx val="299775872"/>
        <c:crosses val="autoZero"/>
        <c:auto val="1"/>
        <c:lblAlgn val="ctr"/>
        <c:lblOffset val="100"/>
        <c:noMultiLvlLbl val="0"/>
      </c:catAx>
      <c:valAx>
        <c:axId val="299775872"/>
        <c:scaling>
          <c:orientation val="minMax"/>
        </c:scaling>
        <c:delete val="0"/>
        <c:axPos val="l"/>
        <c:numFmt formatCode="0%" sourceLinked="0"/>
        <c:majorTickMark val="out"/>
        <c:minorTickMark val="none"/>
        <c:tickLblPos val="nextTo"/>
        <c:crossAx val="29977433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5006450464879"/>
          <c:y val="3.082080649009783E-2"/>
          <c:w val="0.80987196939365635"/>
          <c:h val="0.85394204512314753"/>
        </c:manualLayout>
      </c:layout>
      <c:lineChart>
        <c:grouping val="standard"/>
        <c:varyColors val="0"/>
        <c:ser>
          <c:idx val="0"/>
          <c:order val="0"/>
          <c:tx>
            <c:strRef>
              <c:f>Hoja1!$B$1</c:f>
              <c:strCache>
                <c:ptCount val="1"/>
                <c:pt idx="0">
                  <c:v>Productividad IVA A junio</c:v>
                </c:pt>
              </c:strCache>
            </c:strRef>
          </c:tx>
          <c:marker>
            <c:symbol val="circle"/>
            <c:size val="7"/>
          </c:marker>
          <c:dLbls>
            <c:dLbl>
              <c:idx val="1"/>
              <c:layout>
                <c:manualLayout>
                  <c:x val="-7.909604519774012E-2"/>
                  <c:y val="5.7575757575757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52-4714-B3E1-7E4052D3461A}"/>
                </c:ext>
              </c:extLst>
            </c:dLbl>
            <c:dLbl>
              <c:idx val="2"/>
              <c:layout>
                <c:manualLayout>
                  <c:x val="-2.4858757062146894E-2"/>
                  <c:y val="5.2525252525252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52-4714-B3E1-7E4052D3461A}"/>
                </c:ext>
              </c:extLst>
            </c:dLbl>
            <c:dLbl>
              <c:idx val="3"/>
              <c:layout>
                <c:manualLayout>
                  <c:x val="-5.19774011299435E-2"/>
                  <c:y val="6.26262626262626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52-4714-B3E1-7E4052D3461A}"/>
                </c:ext>
              </c:extLst>
            </c:dLbl>
            <c:dLbl>
              <c:idx val="4"/>
              <c:layout>
                <c:manualLayout>
                  <c:x val="-8.8135593220338981E-2"/>
                  <c:y val="-7.3737373737373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52-4714-B3E1-7E4052D3461A}"/>
                </c:ext>
              </c:extLst>
            </c:dLbl>
            <c:dLbl>
              <c:idx val="5"/>
              <c:layout>
                <c:manualLayout>
                  <c:x val="-3.84180790960452E-2"/>
                  <c:y val="-6.3636363636363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52-4714-B3E1-7E4052D3461A}"/>
                </c:ext>
              </c:extLst>
            </c:dLbl>
            <c:dLbl>
              <c:idx val="6"/>
              <c:layout>
                <c:manualLayout>
                  <c:x val="-3.84180790960452E-2"/>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52-4714-B3E1-7E4052D3461A}"/>
                </c:ext>
              </c:extLst>
            </c:dLbl>
            <c:dLbl>
              <c:idx val="7"/>
              <c:layout>
                <c:manualLayout>
                  <c:x val="-4.7457627118644069E-2"/>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952-4714-B3E1-7E4052D3461A}"/>
                </c:ext>
              </c:extLst>
            </c:dLbl>
            <c:dLbl>
              <c:idx val="8"/>
              <c:layout>
                <c:manualLayout>
                  <c:x val="-2.2393878731260287E-2"/>
                  <c:y val="5.2525252525252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52-4714-B3E1-7E4052D3461A}"/>
                </c:ext>
              </c:extLst>
            </c:dLbl>
            <c:spPr>
              <a:noFill/>
              <a:ln>
                <a:noFill/>
              </a:ln>
              <a:effectLst/>
            </c:spPr>
            <c:txPr>
              <a:bodyPr/>
              <a:lstStyle/>
              <a:p>
                <a:pPr>
                  <a:defRPr sz="800" b="1">
                    <a:solidFill>
                      <a:srgbClr val="0070C0"/>
                    </a:solidFill>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Hoja1!$B$2:$B$10</c:f>
              <c:numCache>
                <c:formatCode>0.0%</c:formatCode>
                <c:ptCount val="9"/>
                <c:pt idx="0">
                  <c:v>0.2308885219878675</c:v>
                </c:pt>
                <c:pt idx="1">
                  <c:v>0.19474785036212802</c:v>
                </c:pt>
                <c:pt idx="2">
                  <c:v>0.20273342752112969</c:v>
                </c:pt>
                <c:pt idx="3">
                  <c:v>0.21528751841362015</c:v>
                </c:pt>
                <c:pt idx="4">
                  <c:v>0.21690949518185326</c:v>
                </c:pt>
                <c:pt idx="5">
                  <c:v>0.21185611109049596</c:v>
                </c:pt>
                <c:pt idx="6">
                  <c:v>0.20775483967209685</c:v>
                </c:pt>
                <c:pt idx="7">
                  <c:v>0.19660422976397937</c:v>
                </c:pt>
                <c:pt idx="8">
                  <c:v>0.18924188187979801</c:v>
                </c:pt>
              </c:numCache>
            </c:numRef>
          </c:val>
          <c:smooth val="1"/>
          <c:extLst>
            <c:ext xmlns:c16="http://schemas.microsoft.com/office/drawing/2014/chart" uri="{C3380CC4-5D6E-409C-BE32-E72D297353CC}">
              <c16:uniqueId val="{00000008-7952-4714-B3E1-7E4052D3461A}"/>
            </c:ext>
          </c:extLst>
        </c:ser>
        <c:dLbls>
          <c:showLegendKey val="0"/>
          <c:showVal val="0"/>
          <c:showCatName val="0"/>
          <c:showSerName val="0"/>
          <c:showPercent val="0"/>
          <c:showBubbleSize val="0"/>
        </c:dLbls>
        <c:marker val="1"/>
        <c:smooth val="0"/>
        <c:axId val="299849216"/>
        <c:axId val="299850752"/>
      </c:lineChart>
      <c:catAx>
        <c:axId val="299849216"/>
        <c:scaling>
          <c:orientation val="minMax"/>
        </c:scaling>
        <c:delete val="0"/>
        <c:axPos val="b"/>
        <c:numFmt formatCode="General" sourceLinked="1"/>
        <c:majorTickMark val="out"/>
        <c:minorTickMark val="none"/>
        <c:tickLblPos val="nextTo"/>
        <c:txPr>
          <a:bodyPr/>
          <a:lstStyle/>
          <a:p>
            <a:pPr>
              <a:defRPr sz="700"/>
            </a:pPr>
            <a:endParaRPr lang="es-GT"/>
          </a:p>
        </c:txPr>
        <c:crossAx val="299850752"/>
        <c:crosses val="autoZero"/>
        <c:auto val="1"/>
        <c:lblAlgn val="ctr"/>
        <c:lblOffset val="100"/>
        <c:noMultiLvlLbl val="0"/>
      </c:catAx>
      <c:valAx>
        <c:axId val="299850752"/>
        <c:scaling>
          <c:orientation val="minMax"/>
          <c:min val="0.17"/>
        </c:scaling>
        <c:delete val="0"/>
        <c:axPos val="l"/>
        <c:numFmt formatCode="0%" sourceLinked="0"/>
        <c:majorTickMark val="out"/>
        <c:minorTickMark val="none"/>
        <c:tickLblPos val="nextTo"/>
        <c:crossAx val="29984921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5006450464879"/>
          <c:y val="3.082080649009783E-2"/>
          <c:w val="0.80987196939365635"/>
          <c:h val="0.78327003242241777"/>
        </c:manualLayout>
      </c:layout>
      <c:lineChart>
        <c:grouping val="standard"/>
        <c:varyColors val="0"/>
        <c:ser>
          <c:idx val="0"/>
          <c:order val="0"/>
          <c:tx>
            <c:strRef>
              <c:f>Hoja1!$B$1</c:f>
              <c:strCache>
                <c:ptCount val="1"/>
                <c:pt idx="0">
                  <c:v>Iva imp</c:v>
                </c:pt>
              </c:strCache>
            </c:strRef>
          </c:tx>
          <c:marker>
            <c:symbol val="circle"/>
            <c:size val="7"/>
          </c:marker>
          <c:dLbls>
            <c:dLbl>
              <c:idx val="1"/>
              <c:layout>
                <c:manualLayout>
                  <c:x val="-7.909604519774012E-2"/>
                  <c:y val="5.7575757575757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69-49AF-8C4B-C3F1BFB82A59}"/>
                </c:ext>
              </c:extLst>
            </c:dLbl>
            <c:dLbl>
              <c:idx val="2"/>
              <c:layout>
                <c:manualLayout>
                  <c:x val="-2.4858757062146894E-2"/>
                  <c:y val="5.2525252525252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69-49AF-8C4B-C3F1BFB82A59}"/>
                </c:ext>
              </c:extLst>
            </c:dLbl>
            <c:dLbl>
              <c:idx val="3"/>
              <c:layout>
                <c:manualLayout>
                  <c:x val="-5.19774011299435E-2"/>
                  <c:y val="6.26262626262626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69-49AF-8C4B-C3F1BFB82A59}"/>
                </c:ext>
              </c:extLst>
            </c:dLbl>
            <c:dLbl>
              <c:idx val="4"/>
              <c:layout>
                <c:manualLayout>
                  <c:x val="-8.8135593220338981E-2"/>
                  <c:y val="-7.3737373737373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69-49AF-8C4B-C3F1BFB82A59}"/>
                </c:ext>
              </c:extLst>
            </c:dLbl>
            <c:dLbl>
              <c:idx val="5"/>
              <c:layout>
                <c:manualLayout>
                  <c:x val="-3.84180790960452E-2"/>
                  <c:y val="-6.3636363636363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69-49AF-8C4B-C3F1BFB82A59}"/>
                </c:ext>
              </c:extLst>
            </c:dLbl>
            <c:dLbl>
              <c:idx val="6"/>
              <c:layout>
                <c:manualLayout>
                  <c:x val="-3.84180790960452E-2"/>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69-49AF-8C4B-C3F1BFB82A59}"/>
                </c:ext>
              </c:extLst>
            </c:dLbl>
            <c:dLbl>
              <c:idx val="7"/>
              <c:layout>
                <c:manualLayout>
                  <c:x val="-4.7457627118644069E-2"/>
                  <c:y val="-4.84848484848484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69-49AF-8C4B-C3F1BFB82A59}"/>
                </c:ext>
              </c:extLst>
            </c:dLbl>
            <c:dLbl>
              <c:idx val="8"/>
              <c:layout>
                <c:manualLayout>
                  <c:x val="-4.3147826860625476E-3"/>
                  <c:y val="-4.34343434343434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69-49AF-8C4B-C3F1BFB82A59}"/>
                </c:ext>
              </c:extLst>
            </c:dLbl>
            <c:spPr>
              <a:noFill/>
              <a:ln>
                <a:noFill/>
              </a:ln>
              <a:effectLst/>
            </c:spPr>
            <c:txPr>
              <a:bodyPr/>
              <a:lstStyle/>
              <a:p>
                <a:pPr>
                  <a:defRPr sz="800" b="1">
                    <a:solidFill>
                      <a:srgbClr val="0070C0"/>
                    </a:solidFill>
                  </a:defRPr>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Hoja1!$B$2:$B$10</c:f>
              <c:numCache>
                <c:formatCode>0.0%</c:formatCode>
                <c:ptCount val="9"/>
                <c:pt idx="0">
                  <c:v>0.14989897078067113</c:v>
                </c:pt>
                <c:pt idx="1">
                  <c:v>0.11133241938140911</c:v>
                </c:pt>
                <c:pt idx="2">
                  <c:v>0.12143991244898078</c:v>
                </c:pt>
                <c:pt idx="3">
                  <c:v>0.12914690537977791</c:v>
                </c:pt>
                <c:pt idx="4">
                  <c:v>0.13092092429374524</c:v>
                </c:pt>
                <c:pt idx="5">
                  <c:v>0.12125056064670958</c:v>
                </c:pt>
                <c:pt idx="6">
                  <c:v>0.11657601641629932</c:v>
                </c:pt>
                <c:pt idx="7">
                  <c:v>0.10391133372787285</c:v>
                </c:pt>
                <c:pt idx="8">
                  <c:v>9.510088605841388E-2</c:v>
                </c:pt>
              </c:numCache>
            </c:numRef>
          </c:val>
          <c:smooth val="1"/>
          <c:extLst>
            <c:ext xmlns:c16="http://schemas.microsoft.com/office/drawing/2014/chart" uri="{C3380CC4-5D6E-409C-BE32-E72D297353CC}">
              <c16:uniqueId val="{00000008-7869-49AF-8C4B-C3F1BFB82A59}"/>
            </c:ext>
          </c:extLst>
        </c:ser>
        <c:ser>
          <c:idx val="1"/>
          <c:order val="1"/>
          <c:tx>
            <c:strRef>
              <c:f>Hoja1!$C$1</c:f>
              <c:strCache>
                <c:ptCount val="1"/>
                <c:pt idx="0">
                  <c:v>IVA dom</c:v>
                </c:pt>
              </c:strCache>
            </c:strRef>
          </c:tx>
          <c:marker>
            <c:symbol val="circle"/>
            <c:size val="6"/>
          </c:marker>
          <c:dLbls>
            <c:dLbl>
              <c:idx val="0"/>
              <c:layout>
                <c:manualLayout>
                  <c:x val="-8.1355932203389825E-2"/>
                  <c:y val="5.77540106951871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69-49AF-8C4B-C3F1BFB82A59}"/>
                </c:ext>
              </c:extLst>
            </c:dLbl>
            <c:dLbl>
              <c:idx val="1"/>
              <c:layout>
                <c:manualLayout>
                  <c:x val="-0.10847457627118644"/>
                  <c:y val="-0.0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69-49AF-8C4B-C3F1BFB82A59}"/>
                </c:ext>
              </c:extLst>
            </c:dLbl>
            <c:dLbl>
              <c:idx val="2"/>
              <c:layout>
                <c:manualLayout>
                  <c:x val="-8.1355932203389866E-2"/>
                  <c:y val="5.77540106951871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69-49AF-8C4B-C3F1BFB82A59}"/>
                </c:ext>
              </c:extLst>
            </c:dLbl>
            <c:dLbl>
              <c:idx val="3"/>
              <c:layout>
                <c:manualLayout>
                  <c:x val="-0.11299435028248588"/>
                  <c:y val="-5.50505050505050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869-49AF-8C4B-C3F1BFB82A59}"/>
                </c:ext>
              </c:extLst>
            </c:dLbl>
            <c:dLbl>
              <c:idx val="4"/>
              <c:layout>
                <c:manualLayout>
                  <c:x val="-8.1355932203389825E-2"/>
                  <c:y val="6.48841354723707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869-49AF-8C4B-C3F1BFB82A59}"/>
                </c:ext>
              </c:extLst>
            </c:dLbl>
            <c:dLbl>
              <c:idx val="5"/>
              <c:layout>
                <c:manualLayout>
                  <c:x val="-0.13559322033898305"/>
                  <c:y val="-0.0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869-49AF-8C4B-C3F1BFB82A59}"/>
                </c:ext>
              </c:extLst>
            </c:dLbl>
            <c:dLbl>
              <c:idx val="7"/>
              <c:layout>
                <c:manualLayout>
                  <c:x val="-0.14011299435028257"/>
                  <c:y val="-3.9898989898989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869-49AF-8C4B-C3F1BFB82A59}"/>
                </c:ext>
              </c:extLst>
            </c:dLbl>
            <c:dLbl>
              <c:idx val="8"/>
              <c:layout>
                <c:manualLayout>
                  <c:x val="-4.3147826860625476E-3"/>
                  <c:y val="8.8740297837101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869-49AF-8C4B-C3F1BFB82A59}"/>
                </c:ext>
              </c:extLst>
            </c:dLbl>
            <c:spPr>
              <a:noFill/>
              <a:ln>
                <a:noFill/>
              </a:ln>
              <a:effectLst/>
            </c:spPr>
            <c:txPr>
              <a:bodyPr/>
              <a:lstStyle/>
              <a:p>
                <a:pPr>
                  <a:defRPr sz="800" b="1">
                    <a:solidFill>
                      <a:srgbClr val="C00000"/>
                    </a:solidFill>
                  </a:defRPr>
                </a:pPr>
                <a:endParaRPr lang="es-G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Hoja1!$C$2:$C$10</c:f>
              <c:numCache>
                <c:formatCode>0.0%</c:formatCode>
                <c:ptCount val="9"/>
                <c:pt idx="0">
                  <c:v>8.0989551207196378E-2</c:v>
                </c:pt>
                <c:pt idx="1">
                  <c:v>8.3415430980718908E-2</c:v>
                </c:pt>
                <c:pt idx="2">
                  <c:v>8.1291013271352727E-2</c:v>
                </c:pt>
                <c:pt idx="3">
                  <c:v>8.6138366922579604E-2</c:v>
                </c:pt>
                <c:pt idx="4">
                  <c:v>8.5990682073251362E-2</c:v>
                </c:pt>
                <c:pt idx="5">
                  <c:v>9.060555044378639E-2</c:v>
                </c:pt>
                <c:pt idx="6">
                  <c:v>9.117882325579757E-2</c:v>
                </c:pt>
                <c:pt idx="7">
                  <c:v>9.2694602521912986E-2</c:v>
                </c:pt>
                <c:pt idx="8">
                  <c:v>9.4139401319329283E-2</c:v>
                </c:pt>
              </c:numCache>
            </c:numRef>
          </c:val>
          <c:smooth val="0"/>
          <c:extLst>
            <c:ext xmlns:c16="http://schemas.microsoft.com/office/drawing/2014/chart" uri="{C3380CC4-5D6E-409C-BE32-E72D297353CC}">
              <c16:uniqueId val="{00000011-7869-49AF-8C4B-C3F1BFB82A59}"/>
            </c:ext>
          </c:extLst>
        </c:ser>
        <c:dLbls>
          <c:showLegendKey val="0"/>
          <c:showVal val="0"/>
          <c:showCatName val="0"/>
          <c:showSerName val="0"/>
          <c:showPercent val="0"/>
          <c:showBubbleSize val="0"/>
        </c:dLbls>
        <c:marker val="1"/>
        <c:smooth val="0"/>
        <c:axId val="301236224"/>
        <c:axId val="301237760"/>
      </c:lineChart>
      <c:catAx>
        <c:axId val="301236224"/>
        <c:scaling>
          <c:orientation val="minMax"/>
        </c:scaling>
        <c:delete val="0"/>
        <c:axPos val="b"/>
        <c:numFmt formatCode="General" sourceLinked="1"/>
        <c:majorTickMark val="out"/>
        <c:minorTickMark val="none"/>
        <c:tickLblPos val="nextTo"/>
        <c:txPr>
          <a:bodyPr/>
          <a:lstStyle/>
          <a:p>
            <a:pPr>
              <a:defRPr sz="700"/>
            </a:pPr>
            <a:endParaRPr lang="es-GT"/>
          </a:p>
        </c:txPr>
        <c:crossAx val="301237760"/>
        <c:crosses val="autoZero"/>
        <c:auto val="1"/>
        <c:lblAlgn val="ctr"/>
        <c:lblOffset val="100"/>
        <c:noMultiLvlLbl val="0"/>
      </c:catAx>
      <c:valAx>
        <c:axId val="301237760"/>
        <c:scaling>
          <c:orientation val="minMax"/>
          <c:min val="7.0000000000000007E-2"/>
        </c:scaling>
        <c:delete val="0"/>
        <c:axPos val="l"/>
        <c:numFmt formatCode="0%" sourceLinked="0"/>
        <c:majorTickMark val="out"/>
        <c:minorTickMark val="none"/>
        <c:tickLblPos val="nextTo"/>
        <c:crossAx val="301236224"/>
        <c:crosses val="autoZero"/>
        <c:crossBetween val="between"/>
      </c:valAx>
    </c:plotArea>
    <c:legend>
      <c:legendPos val="b"/>
      <c:layout>
        <c:manualLayout>
          <c:xMode val="edge"/>
          <c:yMode val="edge"/>
          <c:x val="0.18303732372436499"/>
          <c:y val="0.9143223574325936"/>
          <c:w val="0.65507789492415147"/>
          <c:h val="8.5677642567406342E-2"/>
        </c:manualLayout>
      </c:layout>
      <c:overlay val="0"/>
      <c:txPr>
        <a:bodyPr/>
        <a:lstStyle/>
        <a:p>
          <a:pPr>
            <a:defRPr sz="800" b="0"/>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0942698270504"/>
          <c:y val="6.4248213219137748E-2"/>
          <c:w val="0.88337270341207352"/>
          <c:h val="0.82814802475621785"/>
        </c:manualLayout>
      </c:layout>
      <c:barChart>
        <c:barDir val="col"/>
        <c:grouping val="clustered"/>
        <c:varyColors val="0"/>
        <c:ser>
          <c:idx val="0"/>
          <c:order val="0"/>
          <c:tx>
            <c:strRef>
              <c:f>'Austeridad mensual (2)'!$M$11</c:f>
              <c:strCache>
                <c:ptCount val="1"/>
                <c:pt idx="0">
                  <c:v>Gasto Superfluo  Neto</c:v>
                </c:pt>
              </c:strCache>
            </c:strRef>
          </c:tx>
          <c:spPr>
            <a:solidFill>
              <a:schemeClr val="tx2"/>
            </a:solidFill>
            <a:effectLst>
              <a:outerShdw blurRad="50800" dist="38100" dir="18900000" algn="bl" rotWithShape="0">
                <a:prstClr val="black">
                  <a:alpha val="40000"/>
                </a:prstClr>
              </a:outerShdw>
            </a:effectLst>
            <a:scene3d>
              <a:camera prst="orthographicFront"/>
              <a:lightRig rig="threePt" dir="t"/>
            </a:scene3d>
            <a:sp3d>
              <a:bevelT w="50800"/>
            </a:sp3d>
          </c:spPr>
          <c:invertIfNegative val="0"/>
          <c:dPt>
            <c:idx val="5"/>
            <c:invertIfNegative val="0"/>
            <c:bubble3D val="0"/>
            <c:spPr>
              <a:solidFill>
                <a:schemeClr val="accent2">
                  <a:lumMod val="75000"/>
                </a:schemeClr>
              </a:solidFill>
              <a:effectLst>
                <a:outerShdw blurRad="50800" dist="38100" dir="18900000" algn="bl" rotWithShape="0">
                  <a:prstClr val="black">
                    <a:alpha val="40000"/>
                  </a:prstClr>
                </a:outerShdw>
              </a:effectLst>
              <a:scene3d>
                <a:camera prst="orthographicFront"/>
                <a:lightRig rig="threePt" dir="t"/>
              </a:scene3d>
              <a:sp3d>
                <a:bevelT w="50800"/>
              </a:sp3d>
            </c:spPr>
            <c:extLst>
              <c:ext xmlns:c16="http://schemas.microsoft.com/office/drawing/2014/chart" uri="{C3380CC4-5D6E-409C-BE32-E72D297353CC}">
                <c16:uniqueId val="{00000001-86AF-419F-801F-DC51EB046A8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'Austeridad mensual (2)'!$Q$3:$V$3</c:f>
              <c:numCache>
                <c:formatCode>General</c:formatCode>
                <c:ptCount val="6"/>
                <c:pt idx="0">
                  <c:v>2011</c:v>
                </c:pt>
                <c:pt idx="1">
                  <c:v>2012</c:v>
                </c:pt>
                <c:pt idx="2">
                  <c:v>2013</c:v>
                </c:pt>
                <c:pt idx="3">
                  <c:v>2014</c:v>
                </c:pt>
                <c:pt idx="4">
                  <c:v>2015</c:v>
                </c:pt>
                <c:pt idx="5">
                  <c:v>2016</c:v>
                </c:pt>
              </c:numCache>
            </c:numRef>
          </c:cat>
          <c:val>
            <c:numRef>
              <c:f>'Austeridad mensual (2)'!$Q$11:$V$11</c:f>
              <c:numCache>
                <c:formatCode>#,##0.0</c:formatCode>
                <c:ptCount val="6"/>
                <c:pt idx="0">
                  <c:v>457.49999999999983</c:v>
                </c:pt>
                <c:pt idx="1">
                  <c:v>285.39999999999992</c:v>
                </c:pt>
                <c:pt idx="2">
                  <c:v>336.8</c:v>
                </c:pt>
                <c:pt idx="3">
                  <c:v>429.2000000000001</c:v>
                </c:pt>
                <c:pt idx="4">
                  <c:v>334.59999999999997</c:v>
                </c:pt>
                <c:pt idx="5">
                  <c:v>235.99999999999991</c:v>
                </c:pt>
              </c:numCache>
            </c:numRef>
          </c:val>
          <c:extLst>
            <c:ext xmlns:c16="http://schemas.microsoft.com/office/drawing/2014/chart" uri="{C3380CC4-5D6E-409C-BE32-E72D297353CC}">
              <c16:uniqueId val="{00000002-86AF-419F-801F-DC51EB046A86}"/>
            </c:ext>
          </c:extLst>
        </c:ser>
        <c:dLbls>
          <c:showLegendKey val="0"/>
          <c:showVal val="0"/>
          <c:showCatName val="0"/>
          <c:showSerName val="0"/>
          <c:showPercent val="0"/>
          <c:showBubbleSize val="0"/>
        </c:dLbls>
        <c:gapWidth val="45"/>
        <c:axId val="301258624"/>
        <c:axId val="301260160"/>
      </c:barChart>
      <c:catAx>
        <c:axId val="301258624"/>
        <c:scaling>
          <c:orientation val="minMax"/>
        </c:scaling>
        <c:delete val="0"/>
        <c:axPos val="b"/>
        <c:numFmt formatCode="General" sourceLinked="1"/>
        <c:majorTickMark val="out"/>
        <c:minorTickMark val="none"/>
        <c:tickLblPos val="low"/>
        <c:crossAx val="301260160"/>
        <c:crosses val="autoZero"/>
        <c:auto val="1"/>
        <c:lblAlgn val="ctr"/>
        <c:lblOffset val="100"/>
        <c:noMultiLvlLbl val="0"/>
      </c:catAx>
      <c:valAx>
        <c:axId val="301260160"/>
        <c:scaling>
          <c:orientation val="minMax"/>
        </c:scaling>
        <c:delete val="0"/>
        <c:axPos val="l"/>
        <c:numFmt formatCode="#,##0.0" sourceLinked="1"/>
        <c:majorTickMark val="out"/>
        <c:minorTickMark val="none"/>
        <c:tickLblPos val="nextTo"/>
        <c:crossAx val="301258624"/>
        <c:crosses val="autoZero"/>
        <c:crossBetween val="between"/>
      </c:valAx>
    </c:plotArea>
    <c:plotVisOnly val="1"/>
    <c:dispBlanksAs val="gap"/>
    <c:showDLblsOverMax val="0"/>
  </c:chart>
  <c:spPr>
    <a:ln>
      <a:noFill/>
    </a:ln>
  </c:spPr>
  <c:txPr>
    <a:bodyPr/>
    <a:lstStyle/>
    <a:p>
      <a:pPr>
        <a:defRPr sz="700">
          <a:latin typeface="Times New Roman" pitchFamily="18" charset="0"/>
          <a:cs typeface="Times New Roman" pitchFamily="18" charset="0"/>
        </a:defRPr>
      </a:pPr>
      <a:endParaRPr lang="es-G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28578131644159"/>
          <c:y val="7.0347466654027579E-2"/>
          <c:w val="0.78351737356930551"/>
          <c:h val="0.80258225801622707"/>
        </c:manualLayout>
      </c:layout>
      <c:barChart>
        <c:barDir val="col"/>
        <c:grouping val="clustered"/>
        <c:varyColors val="0"/>
        <c:ser>
          <c:idx val="0"/>
          <c:order val="0"/>
          <c:tx>
            <c:strRef>
              <c:f>Hoja1!$B$1</c:f>
              <c:strCache>
                <c:ptCount val="1"/>
                <c:pt idx="0">
                  <c:v>Serie 1</c:v>
                </c:pt>
              </c:strCache>
            </c:strRef>
          </c:tx>
          <c:spPr>
            <a:solidFill>
              <a:schemeClr val="tx2">
                <a:lumMod val="40000"/>
                <a:lumOff val="60000"/>
              </a:schemeClr>
            </a:solidFill>
            <a:effectLst>
              <a:outerShdw blurRad="50800" dist="38100" dir="2700000" algn="tl" rotWithShape="0">
                <a:prstClr val="black">
                  <a:alpha val="40000"/>
                </a:prstClr>
              </a:outerShdw>
            </a:effectLst>
          </c:spPr>
          <c:invertIfNegative val="0"/>
          <c:dLbls>
            <c:dLbl>
              <c:idx val="0"/>
              <c:layout>
                <c:manualLayout>
                  <c:x val="-4.2665323530983194E-17"/>
                  <c:y val="1.26723426122487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FB-4130-85B0-2ACF2841F30E}"/>
                </c:ext>
              </c:extLst>
            </c:dLbl>
            <c:spPr>
              <a:noFill/>
              <a:ln>
                <a:noFill/>
              </a:ln>
              <a:effectLst/>
            </c:spPr>
            <c:txPr>
              <a:bodyPr/>
              <a:lstStyle/>
              <a:p>
                <a:pPr>
                  <a:defRPr sz="800"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Hoja1!$A$2:$A$3</c:f>
              <c:numCache>
                <c:formatCode>General</c:formatCode>
                <c:ptCount val="2"/>
                <c:pt idx="0">
                  <c:v>2016</c:v>
                </c:pt>
                <c:pt idx="1">
                  <c:v>2015</c:v>
                </c:pt>
              </c:numCache>
            </c:numRef>
          </c:cat>
          <c:val>
            <c:numRef>
              <c:f>Hoja1!$B$2:$B$3</c:f>
              <c:numCache>
                <c:formatCode>General</c:formatCode>
                <c:ptCount val="2"/>
                <c:pt idx="0">
                  <c:v>51.3</c:v>
                </c:pt>
                <c:pt idx="1">
                  <c:v>50.1</c:v>
                </c:pt>
              </c:numCache>
            </c:numRef>
          </c:val>
          <c:extLst>
            <c:ext xmlns:c16="http://schemas.microsoft.com/office/drawing/2014/chart" uri="{C3380CC4-5D6E-409C-BE32-E72D297353CC}">
              <c16:uniqueId val="{00000001-5DFB-4130-85B0-2ACF2841F30E}"/>
            </c:ext>
          </c:extLst>
        </c:ser>
        <c:dLbls>
          <c:showLegendKey val="0"/>
          <c:showVal val="0"/>
          <c:showCatName val="0"/>
          <c:showSerName val="0"/>
          <c:showPercent val="0"/>
          <c:showBubbleSize val="0"/>
        </c:dLbls>
        <c:gapWidth val="85"/>
        <c:axId val="301276160"/>
        <c:axId val="301282048"/>
      </c:barChart>
      <c:catAx>
        <c:axId val="301276160"/>
        <c:scaling>
          <c:orientation val="minMax"/>
        </c:scaling>
        <c:delete val="0"/>
        <c:axPos val="b"/>
        <c:numFmt formatCode="General" sourceLinked="1"/>
        <c:majorTickMark val="out"/>
        <c:minorTickMark val="none"/>
        <c:tickLblPos val="nextTo"/>
        <c:txPr>
          <a:bodyPr/>
          <a:lstStyle/>
          <a:p>
            <a:pPr>
              <a:defRPr sz="900"/>
            </a:pPr>
            <a:endParaRPr lang="es-GT"/>
          </a:p>
        </c:txPr>
        <c:crossAx val="301282048"/>
        <c:crosses val="autoZero"/>
        <c:auto val="1"/>
        <c:lblAlgn val="ctr"/>
        <c:lblOffset val="100"/>
        <c:noMultiLvlLbl val="0"/>
      </c:catAx>
      <c:valAx>
        <c:axId val="301282048"/>
        <c:scaling>
          <c:orientation val="minMax"/>
          <c:min val="40"/>
        </c:scaling>
        <c:delete val="0"/>
        <c:axPos val="l"/>
        <c:title>
          <c:tx>
            <c:rich>
              <a:bodyPr rot="-5400000" vert="horz"/>
              <a:lstStyle/>
              <a:p>
                <a:pPr>
                  <a:defRPr sz="800" b="0"/>
                </a:pPr>
                <a:r>
                  <a:rPr lang="es-GT" sz="800" b="0"/>
                  <a:t>Porcentajes</a:t>
                </a:r>
              </a:p>
            </c:rich>
          </c:tx>
          <c:layout>
            <c:manualLayout>
              <c:xMode val="edge"/>
              <c:yMode val="edge"/>
              <c:x val="6.0687466328516399E-3"/>
              <c:y val="0.36752741933874233"/>
            </c:manualLayout>
          </c:layout>
          <c:overlay val="0"/>
        </c:title>
        <c:numFmt formatCode="General" sourceLinked="1"/>
        <c:majorTickMark val="out"/>
        <c:minorTickMark val="none"/>
        <c:tickLblPos val="nextTo"/>
        <c:txPr>
          <a:bodyPr/>
          <a:lstStyle/>
          <a:p>
            <a:pPr>
              <a:defRPr sz="900"/>
            </a:pPr>
            <a:endParaRPr lang="es-GT"/>
          </a:p>
        </c:txPr>
        <c:crossAx val="301276160"/>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9525"/>
            <a:effectLst>
              <a:outerShdw blurRad="50800" dist="38100" dir="2700000" algn="tl" rotWithShape="0">
                <a:prstClr val="black">
                  <a:alpha val="40000"/>
                </a:prstClr>
              </a:outerShdw>
            </a:effectLst>
          </c:spPr>
          <c:marker>
            <c:symbol val="none"/>
          </c:marker>
          <c:dLbls>
            <c:dLbl>
              <c:idx val="1"/>
              <c:layout>
                <c:manualLayout>
                  <c:x val="-5.8333333333333334E-2"/>
                  <c:y val="-3.716608594657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8F-46AE-9C7C-0897117418DC}"/>
                </c:ext>
              </c:extLst>
            </c:dLbl>
            <c:dLbl>
              <c:idx val="12"/>
              <c:layout>
                <c:manualLayout>
                  <c:x val="-1.1111111111111112E-2"/>
                  <c:y val="6.039488966318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8F-46AE-9C7C-0897117418DC}"/>
                </c:ext>
              </c:extLst>
            </c:dLbl>
            <c:dLbl>
              <c:idx val="24"/>
              <c:layout>
                <c:manualLayout>
                  <c:x val="-8.3333333333333332E-3"/>
                  <c:y val="-2.7874564459930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8F-46AE-9C7C-0897117418DC}"/>
                </c:ext>
              </c:extLst>
            </c:dLbl>
            <c:spPr>
              <a:noFill/>
              <a:ln>
                <a:noFill/>
              </a:ln>
              <a:effectLst/>
            </c:spPr>
            <c:txPr>
              <a:bodyPr/>
              <a:lstStyle/>
              <a:p>
                <a:pPr>
                  <a:defRPr sz="800" b="1"/>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Hoja1!$D$8:$E$32</c:f>
              <c:multiLvlStrCache>
                <c:ptCount val="25"/>
                <c:lvl>
                  <c:pt idx="0">
                    <c:v>junio</c:v>
                  </c:pt>
                  <c:pt idx="1">
                    <c:v>julio</c:v>
                  </c:pt>
                  <c:pt idx="2">
                    <c:v>agosto</c:v>
                  </c:pt>
                  <c:pt idx="3">
                    <c:v>septiembre</c:v>
                  </c:pt>
                  <c:pt idx="4">
                    <c:v>octubre</c:v>
                  </c:pt>
                  <c:pt idx="5">
                    <c:v>noviembre</c:v>
                  </c:pt>
                  <c:pt idx="6">
                    <c:v>diciembre</c:v>
                  </c:pt>
                  <c:pt idx="7">
                    <c:v>enero</c:v>
                  </c:pt>
                  <c:pt idx="8">
                    <c:v>febrero</c:v>
                  </c:pt>
                  <c:pt idx="9">
                    <c:v>marzo</c:v>
                  </c:pt>
                  <c:pt idx="10">
                    <c:v>abril</c:v>
                  </c:pt>
                  <c:pt idx="11">
                    <c:v>mayo</c:v>
                  </c:pt>
                  <c:pt idx="12">
                    <c:v>junio</c:v>
                  </c:pt>
                  <c:pt idx="13">
                    <c:v>julio</c:v>
                  </c:pt>
                  <c:pt idx="14">
                    <c:v>agosto</c:v>
                  </c:pt>
                  <c:pt idx="15">
                    <c:v>septiembre</c:v>
                  </c:pt>
                  <c:pt idx="16">
                    <c:v>octubre</c:v>
                  </c:pt>
                  <c:pt idx="17">
                    <c:v>noviembre</c:v>
                  </c:pt>
                  <c:pt idx="18">
                    <c:v>diciembre</c:v>
                  </c:pt>
                  <c:pt idx="19">
                    <c:v>enero</c:v>
                  </c:pt>
                  <c:pt idx="20">
                    <c:v>febrero</c:v>
                  </c:pt>
                  <c:pt idx="21">
                    <c:v>marzo</c:v>
                  </c:pt>
                  <c:pt idx="22">
                    <c:v>abril</c:v>
                  </c:pt>
                  <c:pt idx="23">
                    <c:v>mayo</c:v>
                  </c:pt>
                  <c:pt idx="24">
                    <c:v>junio</c:v>
                  </c:pt>
                </c:lvl>
                <c:lvl>
                  <c:pt idx="0">
                    <c:v>2014</c:v>
                  </c:pt>
                  <c:pt idx="7">
                    <c:v>2015</c:v>
                  </c:pt>
                  <c:pt idx="19">
                    <c:v>2016</c:v>
                  </c:pt>
                </c:lvl>
              </c:multiLvlStrCache>
            </c:multiLvlStrRef>
          </c:cat>
          <c:val>
            <c:numRef>
              <c:f>Hoja1!$F$8:$F$32</c:f>
              <c:numCache>
                <c:formatCode>General</c:formatCode>
                <c:ptCount val="25"/>
                <c:pt idx="0">
                  <c:v>3.13</c:v>
                </c:pt>
                <c:pt idx="1">
                  <c:v>3.41</c:v>
                </c:pt>
                <c:pt idx="2">
                  <c:v>3.7</c:v>
                </c:pt>
                <c:pt idx="3">
                  <c:v>3.45</c:v>
                </c:pt>
                <c:pt idx="4">
                  <c:v>3.64</c:v>
                </c:pt>
                <c:pt idx="5">
                  <c:v>3.38</c:v>
                </c:pt>
                <c:pt idx="6">
                  <c:v>2.95</c:v>
                </c:pt>
                <c:pt idx="7">
                  <c:v>2.3199999999999998</c:v>
                </c:pt>
                <c:pt idx="8">
                  <c:v>2.44</c:v>
                </c:pt>
                <c:pt idx="9">
                  <c:v>2.4300000000000002</c:v>
                </c:pt>
                <c:pt idx="10">
                  <c:v>2.58</c:v>
                </c:pt>
                <c:pt idx="11">
                  <c:v>2.5499999999999998</c:v>
                </c:pt>
                <c:pt idx="12">
                  <c:v>2.39</c:v>
                </c:pt>
                <c:pt idx="13">
                  <c:v>2.3199999999999998</c:v>
                </c:pt>
                <c:pt idx="14">
                  <c:v>1.96</c:v>
                </c:pt>
                <c:pt idx="15">
                  <c:v>1.88</c:v>
                </c:pt>
                <c:pt idx="16">
                  <c:v>2.23</c:v>
                </c:pt>
                <c:pt idx="17">
                  <c:v>2.5099999999999998</c:v>
                </c:pt>
                <c:pt idx="18">
                  <c:v>3.07</c:v>
                </c:pt>
                <c:pt idx="19">
                  <c:v>4.38</c:v>
                </c:pt>
                <c:pt idx="20">
                  <c:v>4.2699999999999996</c:v>
                </c:pt>
                <c:pt idx="21">
                  <c:v>4.26</c:v>
                </c:pt>
                <c:pt idx="22">
                  <c:v>4.09</c:v>
                </c:pt>
                <c:pt idx="23">
                  <c:v>4.3600000000000003</c:v>
                </c:pt>
                <c:pt idx="24">
                  <c:v>4.43</c:v>
                </c:pt>
              </c:numCache>
            </c:numRef>
          </c:val>
          <c:smooth val="0"/>
          <c:extLst>
            <c:ext xmlns:c16="http://schemas.microsoft.com/office/drawing/2014/chart" uri="{C3380CC4-5D6E-409C-BE32-E72D297353CC}">
              <c16:uniqueId val="{00000003-5D8F-46AE-9C7C-0897117418DC}"/>
            </c:ext>
          </c:extLst>
        </c:ser>
        <c:ser>
          <c:idx val="1"/>
          <c:order val="1"/>
          <c:spPr>
            <a:ln w="9525">
              <a:prstDash val="sysDot"/>
            </a:ln>
          </c:spPr>
          <c:marker>
            <c:symbol val="none"/>
          </c:marker>
          <c:cat>
            <c:multiLvlStrRef>
              <c:f>Hoja1!$D$8:$E$32</c:f>
              <c:multiLvlStrCache>
                <c:ptCount val="25"/>
                <c:lvl>
                  <c:pt idx="0">
                    <c:v>junio</c:v>
                  </c:pt>
                  <c:pt idx="1">
                    <c:v>julio</c:v>
                  </c:pt>
                  <c:pt idx="2">
                    <c:v>agosto</c:v>
                  </c:pt>
                  <c:pt idx="3">
                    <c:v>septiembre</c:v>
                  </c:pt>
                  <c:pt idx="4">
                    <c:v>octubre</c:v>
                  </c:pt>
                  <c:pt idx="5">
                    <c:v>noviembre</c:v>
                  </c:pt>
                  <c:pt idx="6">
                    <c:v>diciembre</c:v>
                  </c:pt>
                  <c:pt idx="7">
                    <c:v>enero</c:v>
                  </c:pt>
                  <c:pt idx="8">
                    <c:v>febrero</c:v>
                  </c:pt>
                  <c:pt idx="9">
                    <c:v>marzo</c:v>
                  </c:pt>
                  <c:pt idx="10">
                    <c:v>abril</c:v>
                  </c:pt>
                  <c:pt idx="11">
                    <c:v>mayo</c:v>
                  </c:pt>
                  <c:pt idx="12">
                    <c:v>junio</c:v>
                  </c:pt>
                  <c:pt idx="13">
                    <c:v>julio</c:v>
                  </c:pt>
                  <c:pt idx="14">
                    <c:v>agosto</c:v>
                  </c:pt>
                  <c:pt idx="15">
                    <c:v>septiembre</c:v>
                  </c:pt>
                  <c:pt idx="16">
                    <c:v>octubre</c:v>
                  </c:pt>
                  <c:pt idx="17">
                    <c:v>noviembre</c:v>
                  </c:pt>
                  <c:pt idx="18">
                    <c:v>diciembre</c:v>
                  </c:pt>
                  <c:pt idx="19">
                    <c:v>enero</c:v>
                  </c:pt>
                  <c:pt idx="20">
                    <c:v>febrero</c:v>
                  </c:pt>
                  <c:pt idx="21">
                    <c:v>marzo</c:v>
                  </c:pt>
                  <c:pt idx="22">
                    <c:v>abril</c:v>
                  </c:pt>
                  <c:pt idx="23">
                    <c:v>mayo</c:v>
                  </c:pt>
                  <c:pt idx="24">
                    <c:v>junio</c:v>
                  </c:pt>
                </c:lvl>
                <c:lvl>
                  <c:pt idx="0">
                    <c:v>2014</c:v>
                  </c:pt>
                  <c:pt idx="7">
                    <c:v>2015</c:v>
                  </c:pt>
                  <c:pt idx="19">
                    <c:v>2016</c:v>
                  </c:pt>
                </c:lvl>
              </c:multiLvlStrCache>
            </c:multiLvlStrRef>
          </c:cat>
          <c:val>
            <c:numRef>
              <c:f>Hoja1!$G$8:$G$32</c:f>
              <c:numCache>
                <c:formatCode>General</c:formatCode>
                <c:ptCount val="25"/>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numCache>
            </c:numRef>
          </c:val>
          <c:smooth val="0"/>
          <c:extLst>
            <c:ext xmlns:c16="http://schemas.microsoft.com/office/drawing/2014/chart" uri="{C3380CC4-5D6E-409C-BE32-E72D297353CC}">
              <c16:uniqueId val="{00000004-5D8F-46AE-9C7C-0897117418DC}"/>
            </c:ext>
          </c:extLst>
        </c:ser>
        <c:ser>
          <c:idx val="2"/>
          <c:order val="2"/>
          <c:spPr>
            <a:ln w="9525">
              <a:solidFill>
                <a:sysClr val="windowText" lastClr="000000"/>
              </a:solidFill>
            </a:ln>
          </c:spPr>
          <c:marker>
            <c:symbol val="none"/>
          </c:marker>
          <c:cat>
            <c:multiLvlStrRef>
              <c:f>Hoja1!$D$8:$E$32</c:f>
              <c:multiLvlStrCache>
                <c:ptCount val="25"/>
                <c:lvl>
                  <c:pt idx="0">
                    <c:v>junio</c:v>
                  </c:pt>
                  <c:pt idx="1">
                    <c:v>julio</c:v>
                  </c:pt>
                  <c:pt idx="2">
                    <c:v>agosto</c:v>
                  </c:pt>
                  <c:pt idx="3">
                    <c:v>septiembre</c:v>
                  </c:pt>
                  <c:pt idx="4">
                    <c:v>octubre</c:v>
                  </c:pt>
                  <c:pt idx="5">
                    <c:v>noviembre</c:v>
                  </c:pt>
                  <c:pt idx="6">
                    <c:v>diciembre</c:v>
                  </c:pt>
                  <c:pt idx="7">
                    <c:v>enero</c:v>
                  </c:pt>
                  <c:pt idx="8">
                    <c:v>febrero</c:v>
                  </c:pt>
                  <c:pt idx="9">
                    <c:v>marzo</c:v>
                  </c:pt>
                  <c:pt idx="10">
                    <c:v>abril</c:v>
                  </c:pt>
                  <c:pt idx="11">
                    <c:v>mayo</c:v>
                  </c:pt>
                  <c:pt idx="12">
                    <c:v>junio</c:v>
                  </c:pt>
                  <c:pt idx="13">
                    <c:v>julio</c:v>
                  </c:pt>
                  <c:pt idx="14">
                    <c:v>agosto</c:v>
                  </c:pt>
                  <c:pt idx="15">
                    <c:v>septiembre</c:v>
                  </c:pt>
                  <c:pt idx="16">
                    <c:v>octubre</c:v>
                  </c:pt>
                  <c:pt idx="17">
                    <c:v>noviembre</c:v>
                  </c:pt>
                  <c:pt idx="18">
                    <c:v>diciembre</c:v>
                  </c:pt>
                  <c:pt idx="19">
                    <c:v>enero</c:v>
                  </c:pt>
                  <c:pt idx="20">
                    <c:v>febrero</c:v>
                  </c:pt>
                  <c:pt idx="21">
                    <c:v>marzo</c:v>
                  </c:pt>
                  <c:pt idx="22">
                    <c:v>abril</c:v>
                  </c:pt>
                  <c:pt idx="23">
                    <c:v>mayo</c:v>
                  </c:pt>
                  <c:pt idx="24">
                    <c:v>junio</c:v>
                  </c:pt>
                </c:lvl>
                <c:lvl>
                  <c:pt idx="0">
                    <c:v>2014</c:v>
                  </c:pt>
                  <c:pt idx="7">
                    <c:v>2015</c:v>
                  </c:pt>
                  <c:pt idx="19">
                    <c:v>2016</c:v>
                  </c:pt>
                </c:lvl>
              </c:multiLvlStrCache>
            </c:multiLvlStrRef>
          </c:cat>
          <c:val>
            <c:numRef>
              <c:f>Hoja1!$H$8:$H$32</c:f>
              <c:numCache>
                <c:formatCode>General</c:formatCode>
                <c:ptCount val="25"/>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numCache>
            </c:numRef>
          </c:val>
          <c:smooth val="0"/>
          <c:extLst>
            <c:ext xmlns:c16="http://schemas.microsoft.com/office/drawing/2014/chart" uri="{C3380CC4-5D6E-409C-BE32-E72D297353CC}">
              <c16:uniqueId val="{00000005-5D8F-46AE-9C7C-0897117418DC}"/>
            </c:ext>
          </c:extLst>
        </c:ser>
        <c:ser>
          <c:idx val="3"/>
          <c:order val="3"/>
          <c:spPr>
            <a:ln w="12700">
              <a:solidFill>
                <a:sysClr val="windowText" lastClr="000000"/>
              </a:solidFill>
              <a:prstDash val="sysDot"/>
            </a:ln>
          </c:spPr>
          <c:marker>
            <c:symbol val="none"/>
          </c:marker>
          <c:cat>
            <c:multiLvlStrRef>
              <c:f>Hoja1!$D$8:$E$32</c:f>
              <c:multiLvlStrCache>
                <c:ptCount val="25"/>
                <c:lvl>
                  <c:pt idx="0">
                    <c:v>junio</c:v>
                  </c:pt>
                  <c:pt idx="1">
                    <c:v>julio</c:v>
                  </c:pt>
                  <c:pt idx="2">
                    <c:v>agosto</c:v>
                  </c:pt>
                  <c:pt idx="3">
                    <c:v>septiembre</c:v>
                  </c:pt>
                  <c:pt idx="4">
                    <c:v>octubre</c:v>
                  </c:pt>
                  <c:pt idx="5">
                    <c:v>noviembre</c:v>
                  </c:pt>
                  <c:pt idx="6">
                    <c:v>diciembre</c:v>
                  </c:pt>
                  <c:pt idx="7">
                    <c:v>enero</c:v>
                  </c:pt>
                  <c:pt idx="8">
                    <c:v>febrero</c:v>
                  </c:pt>
                  <c:pt idx="9">
                    <c:v>marzo</c:v>
                  </c:pt>
                  <c:pt idx="10">
                    <c:v>abril</c:v>
                  </c:pt>
                  <c:pt idx="11">
                    <c:v>mayo</c:v>
                  </c:pt>
                  <c:pt idx="12">
                    <c:v>junio</c:v>
                  </c:pt>
                  <c:pt idx="13">
                    <c:v>julio</c:v>
                  </c:pt>
                  <c:pt idx="14">
                    <c:v>agosto</c:v>
                  </c:pt>
                  <c:pt idx="15">
                    <c:v>septiembre</c:v>
                  </c:pt>
                  <c:pt idx="16">
                    <c:v>octubre</c:v>
                  </c:pt>
                  <c:pt idx="17">
                    <c:v>noviembre</c:v>
                  </c:pt>
                  <c:pt idx="18">
                    <c:v>diciembre</c:v>
                  </c:pt>
                  <c:pt idx="19">
                    <c:v>enero</c:v>
                  </c:pt>
                  <c:pt idx="20">
                    <c:v>febrero</c:v>
                  </c:pt>
                  <c:pt idx="21">
                    <c:v>marzo</c:v>
                  </c:pt>
                  <c:pt idx="22">
                    <c:v>abril</c:v>
                  </c:pt>
                  <c:pt idx="23">
                    <c:v>mayo</c:v>
                  </c:pt>
                  <c:pt idx="24">
                    <c:v>junio</c:v>
                  </c:pt>
                </c:lvl>
                <c:lvl>
                  <c:pt idx="0">
                    <c:v>2014</c:v>
                  </c:pt>
                  <c:pt idx="7">
                    <c:v>2015</c:v>
                  </c:pt>
                  <c:pt idx="19">
                    <c:v>2016</c:v>
                  </c:pt>
                </c:lvl>
              </c:multiLvlStrCache>
            </c:multiLvlStrRef>
          </c:cat>
          <c:val>
            <c:numRef>
              <c:f>Hoja1!$I$8:$I$32</c:f>
              <c:numCache>
                <c:formatCode>General</c:formatCode>
                <c:ptCount val="25"/>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numCache>
            </c:numRef>
          </c:val>
          <c:smooth val="0"/>
          <c:extLst>
            <c:ext xmlns:c16="http://schemas.microsoft.com/office/drawing/2014/chart" uri="{C3380CC4-5D6E-409C-BE32-E72D297353CC}">
              <c16:uniqueId val="{00000006-5D8F-46AE-9C7C-0897117418DC}"/>
            </c:ext>
          </c:extLst>
        </c:ser>
        <c:dLbls>
          <c:showLegendKey val="0"/>
          <c:showVal val="0"/>
          <c:showCatName val="0"/>
          <c:showSerName val="0"/>
          <c:showPercent val="0"/>
          <c:showBubbleSize val="0"/>
        </c:dLbls>
        <c:smooth val="0"/>
        <c:axId val="297273600"/>
        <c:axId val="297291776"/>
      </c:lineChart>
      <c:catAx>
        <c:axId val="297273600"/>
        <c:scaling>
          <c:orientation val="minMax"/>
        </c:scaling>
        <c:delete val="0"/>
        <c:axPos val="b"/>
        <c:numFmt formatCode="General" sourceLinked="1"/>
        <c:majorTickMark val="out"/>
        <c:minorTickMark val="none"/>
        <c:tickLblPos val="nextTo"/>
        <c:txPr>
          <a:bodyPr/>
          <a:lstStyle/>
          <a:p>
            <a:pPr>
              <a:defRPr sz="700"/>
            </a:pPr>
            <a:endParaRPr lang="es-GT"/>
          </a:p>
        </c:txPr>
        <c:crossAx val="297291776"/>
        <c:crosses val="autoZero"/>
        <c:auto val="1"/>
        <c:lblAlgn val="ctr"/>
        <c:lblOffset val="100"/>
        <c:noMultiLvlLbl val="0"/>
      </c:catAx>
      <c:valAx>
        <c:axId val="297291776"/>
        <c:scaling>
          <c:orientation val="minMax"/>
        </c:scaling>
        <c:delete val="0"/>
        <c:axPos val="l"/>
        <c:numFmt formatCode="General" sourceLinked="1"/>
        <c:majorTickMark val="out"/>
        <c:minorTickMark val="none"/>
        <c:tickLblPos val="nextTo"/>
        <c:txPr>
          <a:bodyPr/>
          <a:lstStyle/>
          <a:p>
            <a:pPr>
              <a:defRPr sz="800"/>
            </a:pPr>
            <a:endParaRPr lang="es-GT"/>
          </a:p>
        </c:txPr>
        <c:crossAx val="29727360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6350">
              <a:solidFill>
                <a:srgbClr val="FF0000"/>
              </a:solidFill>
            </a:ln>
            <a:effectLst>
              <a:outerShdw blurRad="50800" dist="38100" dir="2700000" algn="tl" rotWithShape="0">
                <a:prstClr val="black">
                  <a:alpha val="40000"/>
                </a:prstClr>
              </a:outerShdw>
            </a:effectLst>
          </c:spPr>
          <c:marker>
            <c:symbol val="diamond"/>
            <c:size val="3"/>
            <c:spPr>
              <a:solidFill>
                <a:srgbClr val="FF0000"/>
              </a:solidFill>
              <a:effectLst>
                <a:outerShdw blurRad="50800" dist="38100" dir="2700000" algn="tl" rotWithShape="0">
                  <a:prstClr val="black">
                    <a:alpha val="40000"/>
                  </a:prstClr>
                </a:outerShdw>
              </a:effectLst>
            </c:spPr>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8C-4A63-BCC8-70E24E7E068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8C-4A63-BCC8-70E24E7E0684}"/>
                </c:ext>
              </c:extLst>
            </c:dLbl>
            <c:dLbl>
              <c:idx val="17"/>
              <c:layout>
                <c:manualLayout>
                  <c:x val="-1.0274834287958029E-2"/>
                  <c:y val="-5.9663223808079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8C-4A63-BCC8-70E24E7E068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Hoja1!$D$3:$E$20</c:f>
              <c:multiLvlStrCache>
                <c:ptCount val="18"/>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lvl>
                <c:lvl>
                  <c:pt idx="0">
                    <c:v>2015</c:v>
                  </c:pt>
                  <c:pt idx="12">
                    <c:v>2016</c:v>
                  </c:pt>
                </c:lvl>
              </c:multiLvlStrCache>
            </c:multiLvlStrRef>
          </c:cat>
          <c:val>
            <c:numRef>
              <c:f>Hoja1!$F$3:$F$20</c:f>
              <c:numCache>
                <c:formatCode>General</c:formatCode>
                <c:ptCount val="18"/>
                <c:pt idx="0">
                  <c:v>43.89</c:v>
                </c:pt>
                <c:pt idx="1">
                  <c:v>60</c:v>
                </c:pt>
                <c:pt idx="2">
                  <c:v>57.82</c:v>
                </c:pt>
                <c:pt idx="3">
                  <c:v>51.14</c:v>
                </c:pt>
                <c:pt idx="4">
                  <c:v>41.67</c:v>
                </c:pt>
                <c:pt idx="5">
                  <c:v>33.04</c:v>
                </c:pt>
                <c:pt idx="6">
                  <c:v>28.68</c:v>
                </c:pt>
                <c:pt idx="7">
                  <c:v>21.67</c:v>
                </c:pt>
                <c:pt idx="8">
                  <c:v>46.67</c:v>
                </c:pt>
                <c:pt idx="9">
                  <c:v>47.12</c:v>
                </c:pt>
                <c:pt idx="10">
                  <c:v>64.319999999999993</c:v>
                </c:pt>
                <c:pt idx="11">
                  <c:v>54.97</c:v>
                </c:pt>
                <c:pt idx="12">
                  <c:v>66.97</c:v>
                </c:pt>
                <c:pt idx="13">
                  <c:v>60.65</c:v>
                </c:pt>
                <c:pt idx="14">
                  <c:v>61.54</c:v>
                </c:pt>
                <c:pt idx="15">
                  <c:v>62.5</c:v>
                </c:pt>
                <c:pt idx="16">
                  <c:v>61.67</c:v>
                </c:pt>
                <c:pt idx="17">
                  <c:v>50.9</c:v>
                </c:pt>
              </c:numCache>
            </c:numRef>
          </c:val>
          <c:smooth val="1"/>
          <c:extLst>
            <c:ext xmlns:c16="http://schemas.microsoft.com/office/drawing/2014/chart" uri="{C3380CC4-5D6E-409C-BE32-E72D297353CC}">
              <c16:uniqueId val="{00000003-068C-4A63-BCC8-70E24E7E0684}"/>
            </c:ext>
          </c:extLst>
        </c:ser>
        <c:ser>
          <c:idx val="1"/>
          <c:order val="1"/>
          <c:spPr>
            <a:ln w="22225">
              <a:solidFill>
                <a:schemeClr val="tx1"/>
              </a:solidFill>
            </a:ln>
          </c:spPr>
          <c:marker>
            <c:symbol val="none"/>
          </c:marker>
          <c:cat>
            <c:multiLvlStrRef>
              <c:f>Hoja1!$D$3:$E$20</c:f>
              <c:multiLvlStrCache>
                <c:ptCount val="18"/>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lvl>
                <c:lvl>
                  <c:pt idx="0">
                    <c:v>2015</c:v>
                  </c:pt>
                  <c:pt idx="12">
                    <c:v>2016</c:v>
                  </c:pt>
                </c:lvl>
              </c:multiLvlStrCache>
            </c:multiLvlStrRef>
          </c:cat>
          <c:val>
            <c:numRef>
              <c:f>Hoja1!$G$3:$G$20</c:f>
              <c:numCache>
                <c:formatCode>General</c:formatCode>
                <c:ptCount val="18"/>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numCache>
            </c:numRef>
          </c:val>
          <c:smooth val="0"/>
          <c:extLst>
            <c:ext xmlns:c16="http://schemas.microsoft.com/office/drawing/2014/chart" uri="{C3380CC4-5D6E-409C-BE32-E72D297353CC}">
              <c16:uniqueId val="{00000004-068C-4A63-BCC8-70E24E7E0684}"/>
            </c:ext>
          </c:extLst>
        </c:ser>
        <c:dLbls>
          <c:showLegendKey val="0"/>
          <c:showVal val="0"/>
          <c:showCatName val="0"/>
          <c:showSerName val="0"/>
          <c:showPercent val="0"/>
          <c:showBubbleSize val="0"/>
        </c:dLbls>
        <c:marker val="1"/>
        <c:smooth val="0"/>
        <c:axId val="297305600"/>
        <c:axId val="297307136"/>
      </c:lineChart>
      <c:catAx>
        <c:axId val="297305600"/>
        <c:scaling>
          <c:orientation val="minMax"/>
        </c:scaling>
        <c:delete val="0"/>
        <c:axPos val="b"/>
        <c:numFmt formatCode="General" sourceLinked="0"/>
        <c:majorTickMark val="out"/>
        <c:minorTickMark val="none"/>
        <c:tickLblPos val="nextTo"/>
        <c:txPr>
          <a:bodyPr/>
          <a:lstStyle/>
          <a:p>
            <a:pPr>
              <a:defRPr sz="700"/>
            </a:pPr>
            <a:endParaRPr lang="es-GT"/>
          </a:p>
        </c:txPr>
        <c:crossAx val="297307136"/>
        <c:crosses val="autoZero"/>
        <c:auto val="1"/>
        <c:lblAlgn val="ctr"/>
        <c:lblOffset val="100"/>
        <c:noMultiLvlLbl val="0"/>
      </c:catAx>
      <c:valAx>
        <c:axId val="297307136"/>
        <c:scaling>
          <c:orientation val="minMax"/>
        </c:scaling>
        <c:delete val="0"/>
        <c:axPos val="l"/>
        <c:numFmt formatCode="General" sourceLinked="1"/>
        <c:majorTickMark val="out"/>
        <c:minorTickMark val="none"/>
        <c:tickLblPos val="nextTo"/>
        <c:crossAx val="297305600"/>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6">
                <a:lumMod val="50000"/>
              </a:schemeClr>
            </a:solidFill>
          </c:spPr>
          <c:invertIfNegative val="0"/>
          <c:dPt>
            <c:idx val="1"/>
            <c:invertIfNegative val="0"/>
            <c:bubble3D val="0"/>
            <c:spPr>
              <a:solidFill>
                <a:srgbClr val="0070C0"/>
              </a:solidFill>
            </c:spPr>
            <c:extLst>
              <c:ext xmlns:c16="http://schemas.microsoft.com/office/drawing/2014/chart" uri="{C3380CC4-5D6E-409C-BE32-E72D297353CC}">
                <c16:uniqueId val="{00000001-AE7D-4822-9B07-3FC3181227B6}"/>
              </c:ext>
            </c:extLst>
          </c:dPt>
          <c:dPt>
            <c:idx val="2"/>
            <c:invertIfNegative val="0"/>
            <c:bubble3D val="0"/>
            <c:spPr>
              <a:solidFill>
                <a:srgbClr val="C00000"/>
              </a:solidFill>
            </c:spPr>
            <c:extLst>
              <c:ext xmlns:c16="http://schemas.microsoft.com/office/drawing/2014/chart" uri="{C3380CC4-5D6E-409C-BE32-E72D297353CC}">
                <c16:uniqueId val="{00000003-AE7D-4822-9B07-3FC3181227B6}"/>
              </c:ext>
            </c:extLst>
          </c:dPt>
          <c:dPt>
            <c:idx val="3"/>
            <c:invertIfNegative val="0"/>
            <c:bubble3D val="0"/>
            <c:spPr>
              <a:solidFill>
                <a:srgbClr val="00B050"/>
              </a:solidFill>
            </c:spPr>
            <c:extLst>
              <c:ext xmlns:c16="http://schemas.microsoft.com/office/drawing/2014/chart" uri="{C3380CC4-5D6E-409C-BE32-E72D297353CC}">
                <c16:uniqueId val="{00000005-AE7D-4822-9B07-3FC3181227B6}"/>
              </c:ext>
            </c:extLst>
          </c:dPt>
          <c:dLbls>
            <c:numFmt formatCode="#,##0.0" sourceLinked="0"/>
            <c:spPr>
              <a:noFill/>
              <a:ln>
                <a:noFill/>
              </a:ln>
              <a:effectLst/>
            </c:spPr>
            <c:txPr>
              <a:bodyPr/>
              <a:lstStyle/>
              <a:p>
                <a:pPr>
                  <a:defRPr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ene-15</c:v>
                </c:pt>
                <c:pt idx="1">
                  <c:v>ene-16</c:v>
                </c:pt>
                <c:pt idx="2">
                  <c:v>Pres-2016</c:v>
                </c:pt>
              </c:strCache>
            </c:strRef>
          </c:cat>
          <c:val>
            <c:numRef>
              <c:f>Hoja1!$B$2:$B$4</c:f>
              <c:numCache>
                <c:formatCode>General</c:formatCode>
                <c:ptCount val="3"/>
                <c:pt idx="0">
                  <c:v>4793.1929513699997</c:v>
                </c:pt>
                <c:pt idx="1">
                  <c:v>4921.7370413000008</c:v>
                </c:pt>
                <c:pt idx="2">
                  <c:v>4887.7148302026471</c:v>
                </c:pt>
              </c:numCache>
            </c:numRef>
          </c:val>
          <c:extLst>
            <c:ext xmlns:c16="http://schemas.microsoft.com/office/drawing/2014/chart" uri="{C3380CC4-5D6E-409C-BE32-E72D297353CC}">
              <c16:uniqueId val="{00000006-AE7D-4822-9B07-3FC3181227B6}"/>
            </c:ext>
          </c:extLst>
        </c:ser>
        <c:dLbls>
          <c:showLegendKey val="0"/>
          <c:showVal val="0"/>
          <c:showCatName val="0"/>
          <c:showSerName val="0"/>
          <c:showPercent val="0"/>
          <c:showBubbleSize val="0"/>
        </c:dLbls>
        <c:gapWidth val="15"/>
        <c:axId val="297321984"/>
        <c:axId val="297323520"/>
      </c:barChart>
      <c:catAx>
        <c:axId val="297321984"/>
        <c:scaling>
          <c:orientation val="minMax"/>
        </c:scaling>
        <c:delete val="0"/>
        <c:axPos val="b"/>
        <c:numFmt formatCode="General" sourceLinked="0"/>
        <c:majorTickMark val="out"/>
        <c:minorTickMark val="none"/>
        <c:tickLblPos val="nextTo"/>
        <c:txPr>
          <a:bodyPr/>
          <a:lstStyle/>
          <a:p>
            <a:pPr>
              <a:defRPr sz="800" b="1"/>
            </a:pPr>
            <a:endParaRPr lang="es-GT"/>
          </a:p>
        </c:txPr>
        <c:crossAx val="297323520"/>
        <c:crosses val="autoZero"/>
        <c:auto val="1"/>
        <c:lblAlgn val="ctr"/>
        <c:lblOffset val="100"/>
        <c:noMultiLvlLbl val="0"/>
      </c:catAx>
      <c:valAx>
        <c:axId val="297323520"/>
        <c:scaling>
          <c:orientation val="minMax"/>
          <c:min val="4000"/>
        </c:scaling>
        <c:delete val="0"/>
        <c:axPos val="l"/>
        <c:numFmt formatCode="General" sourceLinked="1"/>
        <c:majorTickMark val="out"/>
        <c:minorTickMark val="none"/>
        <c:tickLblPos val="nextTo"/>
        <c:crossAx val="29732198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66363795739322E-2"/>
          <c:y val="3.1048437903764877E-2"/>
          <c:w val="0.84580129702968143"/>
          <c:h val="0.82941942053062523"/>
        </c:manualLayout>
      </c:layout>
      <c:ofPieChart>
        <c:ofPieType val="bar"/>
        <c:varyColors val="1"/>
        <c:ser>
          <c:idx val="0"/>
          <c:order val="0"/>
          <c:tx>
            <c:strRef>
              <c:f>Hoja1!$B$1</c:f>
              <c:strCache>
                <c:ptCount val="1"/>
                <c:pt idx="0">
                  <c:v>Ventas</c:v>
                </c:pt>
              </c:strCache>
            </c:strRef>
          </c:tx>
          <c:dLbls>
            <c:dLbl>
              <c:idx val="0"/>
              <c:layout>
                <c:manualLayout>
                  <c:x val="4.0572864702390727E-3"/>
                  <c:y val="0.103433718888343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E49-43F1-B584-F1F6AE47B3BE}"/>
                </c:ext>
              </c:extLst>
            </c:dLbl>
            <c:dLbl>
              <c:idx val="1"/>
              <c:layout>
                <c:manualLayout>
                  <c:x val="-1.5065482880994178E-2"/>
                  <c:y val="-1.221713392338338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49-43F1-B584-F1F6AE47B3BE}"/>
                </c:ext>
              </c:extLst>
            </c:dLbl>
            <c:dLbl>
              <c:idx val="2"/>
              <c:layout>
                <c:manualLayout>
                  <c:x val="2.8870562382389716E-4"/>
                  <c:y val="-0.2032189509436627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E49-43F1-B584-F1F6AE47B3BE}"/>
                </c:ext>
              </c:extLst>
            </c:dLbl>
            <c:dLbl>
              <c:idx val="3"/>
              <c:layout>
                <c:manualLayout>
                  <c:x val="-0.11786538793377463"/>
                  <c:y val="1.957200605398777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49-43F1-B584-F1F6AE47B3BE}"/>
                </c:ext>
              </c:extLst>
            </c:dLbl>
            <c:dLbl>
              <c:idx val="4"/>
              <c:layout>
                <c:manualLayout>
                  <c:x val="-0.10873697881190457"/>
                  <c:y val="8.478648198172308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E49-43F1-B584-F1F6AE47B3BE}"/>
                </c:ext>
              </c:extLst>
            </c:dLbl>
            <c:dLbl>
              <c:idx val="5"/>
              <c:layout>
                <c:manualLayout>
                  <c:x val="-0.10837951484438139"/>
                  <c:y val="-2.753798111002547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E49-43F1-B584-F1F6AE47B3BE}"/>
                </c:ext>
              </c:extLst>
            </c:dLbl>
            <c:dLbl>
              <c:idx val="6"/>
              <c:layout>
                <c:manualLayout>
                  <c:x val="-0.22662469610653507"/>
                  <c:y val="-1.661015000862118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E49-43F1-B584-F1F6AE47B3BE}"/>
                </c:ext>
              </c:extLst>
            </c:dLbl>
            <c:numFmt formatCode="0.0%" sourceLinked="0"/>
            <c:spPr>
              <a:noFill/>
              <a:ln>
                <a:noFill/>
              </a:ln>
              <a:effectLst/>
            </c:spPr>
            <c:txPr>
              <a:bodyPr/>
              <a:lstStyle/>
              <a:p>
                <a:pPr>
                  <a:defRPr sz="800" b="1"/>
                </a:pPr>
                <a:endParaRPr lang="es-GT"/>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Hoja1!$A$2:$A$7</c:f>
              <c:strCache>
                <c:ptCount val="6"/>
                <c:pt idx="0">
                  <c:v>ISO</c:v>
                </c:pt>
                <c:pt idx="1">
                  <c:v>DAI</c:v>
                </c:pt>
                <c:pt idx="2">
                  <c:v>Los demás</c:v>
                </c:pt>
                <c:pt idx="3">
                  <c:v>ISR</c:v>
                </c:pt>
                <c:pt idx="4">
                  <c:v>IVA dom</c:v>
                </c:pt>
                <c:pt idx="5">
                  <c:v>IVA imp</c:v>
                </c:pt>
              </c:strCache>
            </c:strRef>
          </c:cat>
          <c:val>
            <c:numRef>
              <c:f>Hoja1!$B$2:$B$7</c:f>
              <c:numCache>
                <c:formatCode>#,##0.0</c:formatCode>
                <c:ptCount val="6"/>
                <c:pt idx="0">
                  <c:v>1040.6004464599998</c:v>
                </c:pt>
                <c:pt idx="1">
                  <c:v>526.84794778999992</c:v>
                </c:pt>
                <c:pt idx="2">
                  <c:v>1650.8600480000014</c:v>
                </c:pt>
                <c:pt idx="3">
                  <c:v>3573.7097156</c:v>
                </c:pt>
                <c:pt idx="4">
                  <c:v>2905.6604830599999</c:v>
                </c:pt>
                <c:pt idx="5">
                  <c:v>2818.5823485600004</c:v>
                </c:pt>
              </c:numCache>
            </c:numRef>
          </c:val>
          <c:extLst>
            <c:ext xmlns:c16="http://schemas.microsoft.com/office/drawing/2014/chart" uri="{C3380CC4-5D6E-409C-BE32-E72D297353CC}">
              <c16:uniqueId val="{00000007-CE49-43F1-B584-F1F6AE47B3BE}"/>
            </c:ext>
          </c:extLst>
        </c:ser>
        <c:dLbls>
          <c:showLegendKey val="0"/>
          <c:showVal val="0"/>
          <c:showCatName val="0"/>
          <c:showSerName val="0"/>
          <c:showPercent val="0"/>
          <c:showBubbleSize val="0"/>
          <c:showLeaderLines val="1"/>
        </c:dLbls>
        <c:gapWidth val="100"/>
        <c:splitType val="pos"/>
        <c:splitPos val="3"/>
        <c:secondPieSize val="75"/>
        <c:serLines/>
      </c:ofPie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19349412376481"/>
          <c:y val="5.3447006738072171E-2"/>
          <c:w val="0.77513859548044295"/>
          <c:h val="0.74661040575669668"/>
        </c:manualLayout>
      </c:layout>
      <c:barChart>
        <c:barDir val="col"/>
        <c:grouping val="clustered"/>
        <c:varyColors val="0"/>
        <c:ser>
          <c:idx val="0"/>
          <c:order val="0"/>
          <c:tx>
            <c:strRef>
              <c:f>Hoja1!$B$1</c:f>
              <c:strCache>
                <c:ptCount val="1"/>
                <c:pt idx="0">
                  <c:v>Observado</c:v>
                </c:pt>
              </c:strCache>
            </c:strRef>
          </c:tx>
          <c:invertIfNegative val="0"/>
          <c:dLbls>
            <c:numFmt formatCode="#,##0.0" sourceLinked="0"/>
            <c:spPr>
              <a:noFill/>
              <a:ln>
                <a:noFill/>
              </a:ln>
              <a:effectLst/>
            </c:spPr>
            <c:txPr>
              <a:bodyPr rot="-5400000" vert="horz"/>
              <a:lstStyle/>
              <a:p>
                <a:pPr>
                  <a:defRPr b="1"/>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c:v>
                </c:pt>
                <c:pt idx="1">
                  <c:v>Feb</c:v>
                </c:pt>
                <c:pt idx="2">
                  <c:v>Mar</c:v>
                </c:pt>
              </c:strCache>
            </c:strRef>
          </c:cat>
          <c:val>
            <c:numRef>
              <c:f>Hoja1!$B$2:$B$4</c:f>
              <c:numCache>
                <c:formatCode>#,##0.0</c:formatCode>
                <c:ptCount val="3"/>
                <c:pt idx="0">
                  <c:v>4921.7370413000008</c:v>
                </c:pt>
                <c:pt idx="1">
                  <c:v>3350.36568291</c:v>
                </c:pt>
                <c:pt idx="2">
                  <c:v>4244.1582652600009</c:v>
                </c:pt>
              </c:numCache>
            </c:numRef>
          </c:val>
          <c:extLst>
            <c:ext xmlns:c16="http://schemas.microsoft.com/office/drawing/2014/chart" uri="{C3380CC4-5D6E-409C-BE32-E72D297353CC}">
              <c16:uniqueId val="{00000000-47BC-4F11-8370-15BC538F1846}"/>
            </c:ext>
          </c:extLst>
        </c:ser>
        <c:ser>
          <c:idx val="1"/>
          <c:order val="1"/>
          <c:tx>
            <c:strRef>
              <c:f>Hoja1!$C$1</c:f>
              <c:strCache>
                <c:ptCount val="1"/>
                <c:pt idx="0">
                  <c:v>Presupuesto</c:v>
                </c:pt>
              </c:strCache>
            </c:strRef>
          </c:tx>
          <c:invertIfNegative val="0"/>
          <c:dLbls>
            <c:numFmt formatCode="#,##0.0" sourceLinked="0"/>
            <c:spPr>
              <a:noFill/>
              <a:ln>
                <a:noFill/>
              </a:ln>
              <a:effectLst/>
            </c:spPr>
            <c:txPr>
              <a:bodyPr rot="-5400000" vert="horz"/>
              <a:lstStyle/>
              <a:p>
                <a:pPr>
                  <a:defRPr b="1">
                    <a:solidFill>
                      <a:schemeClr val="bg1"/>
                    </a:solidFill>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Ene</c:v>
                </c:pt>
                <c:pt idx="1">
                  <c:v>Feb</c:v>
                </c:pt>
                <c:pt idx="2">
                  <c:v>Mar</c:v>
                </c:pt>
              </c:strCache>
            </c:strRef>
          </c:cat>
          <c:val>
            <c:numRef>
              <c:f>Hoja1!$C$2:$C$4</c:f>
              <c:numCache>
                <c:formatCode>#,##0.0</c:formatCode>
                <c:ptCount val="3"/>
                <c:pt idx="0">
                  <c:v>4887.7148302026471</c:v>
                </c:pt>
                <c:pt idx="1">
                  <c:v>3439.2913989343078</c:v>
                </c:pt>
                <c:pt idx="2">
                  <c:v>4616.5192966087643</c:v>
                </c:pt>
              </c:numCache>
            </c:numRef>
          </c:val>
          <c:extLst>
            <c:ext xmlns:c16="http://schemas.microsoft.com/office/drawing/2014/chart" uri="{C3380CC4-5D6E-409C-BE32-E72D297353CC}">
              <c16:uniqueId val="{00000001-47BC-4F11-8370-15BC538F1846}"/>
            </c:ext>
          </c:extLst>
        </c:ser>
        <c:dLbls>
          <c:showLegendKey val="0"/>
          <c:showVal val="0"/>
          <c:showCatName val="0"/>
          <c:showSerName val="0"/>
          <c:showPercent val="0"/>
          <c:showBubbleSize val="0"/>
        </c:dLbls>
        <c:gapWidth val="44"/>
        <c:axId val="46725376"/>
        <c:axId val="294330368"/>
      </c:barChart>
      <c:catAx>
        <c:axId val="46725376"/>
        <c:scaling>
          <c:orientation val="minMax"/>
        </c:scaling>
        <c:delete val="0"/>
        <c:axPos val="b"/>
        <c:numFmt formatCode="General" sourceLinked="0"/>
        <c:majorTickMark val="out"/>
        <c:minorTickMark val="none"/>
        <c:tickLblPos val="nextTo"/>
        <c:txPr>
          <a:bodyPr/>
          <a:lstStyle/>
          <a:p>
            <a:pPr>
              <a:defRPr b="0"/>
            </a:pPr>
            <a:endParaRPr lang="es-GT"/>
          </a:p>
        </c:txPr>
        <c:crossAx val="294330368"/>
        <c:crosses val="autoZero"/>
        <c:auto val="1"/>
        <c:lblAlgn val="ctr"/>
        <c:lblOffset val="100"/>
        <c:noMultiLvlLbl val="0"/>
      </c:catAx>
      <c:valAx>
        <c:axId val="294330368"/>
        <c:scaling>
          <c:orientation val="minMax"/>
        </c:scaling>
        <c:delete val="0"/>
        <c:axPos val="l"/>
        <c:numFmt formatCode="#,##0" sourceLinked="0"/>
        <c:majorTickMark val="out"/>
        <c:minorTickMark val="none"/>
        <c:tickLblPos val="nextTo"/>
        <c:txPr>
          <a:bodyPr/>
          <a:lstStyle/>
          <a:p>
            <a:pPr>
              <a:defRPr b="0"/>
            </a:pPr>
            <a:endParaRPr lang="es-GT"/>
          </a:p>
        </c:txPr>
        <c:crossAx val="46725376"/>
        <c:crosses val="autoZero"/>
        <c:crossBetween val="between"/>
      </c:valAx>
    </c:plotArea>
    <c:legend>
      <c:legendPos val="b"/>
      <c:layout>
        <c:manualLayout>
          <c:xMode val="edge"/>
          <c:yMode val="edge"/>
          <c:x val="0.16878048780487806"/>
          <c:y val="0.91744414723279211"/>
          <c:w val="0.66243865858231132"/>
          <c:h val="8.2550721305822181E-2"/>
        </c:manualLayout>
      </c:layout>
      <c:overlay val="0"/>
      <c:txPr>
        <a:bodyPr/>
        <a:lstStyle/>
        <a:p>
          <a:pPr>
            <a:defRPr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66363795739322E-2"/>
          <c:y val="3.1048437903764877E-2"/>
          <c:w val="0.94733379976507526"/>
          <c:h val="0.93100593914776109"/>
        </c:manualLayout>
      </c:layout>
      <c:ofPieChart>
        <c:ofPieType val="bar"/>
        <c:varyColors val="1"/>
        <c:ser>
          <c:idx val="0"/>
          <c:order val="0"/>
          <c:tx>
            <c:strRef>
              <c:f>Hoja1!$B$1</c:f>
              <c:strCache>
                <c:ptCount val="1"/>
                <c:pt idx="0">
                  <c:v>Ventas</c:v>
                </c:pt>
              </c:strCache>
            </c:strRef>
          </c:tx>
          <c:dLbls>
            <c:dLbl>
              <c:idx val="0"/>
              <c:layout>
                <c:manualLayout>
                  <c:x val="4.0572864702390727E-3"/>
                  <c:y val="0.103433718888343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B3D-436C-923E-2EF231B4B365}"/>
                </c:ext>
              </c:extLst>
            </c:dLbl>
            <c:dLbl>
              <c:idx val="1"/>
              <c:layout>
                <c:manualLayout>
                  <c:x val="-1.5065482880994178E-2"/>
                  <c:y val="-1.221713392338338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3D-436C-923E-2EF231B4B365}"/>
                </c:ext>
              </c:extLst>
            </c:dLbl>
            <c:dLbl>
              <c:idx val="2"/>
              <c:layout>
                <c:manualLayout>
                  <c:x val="2.8870562382389716E-4"/>
                  <c:y val="-0.2032189509436627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B3D-436C-923E-2EF231B4B365}"/>
                </c:ext>
              </c:extLst>
            </c:dLbl>
            <c:dLbl>
              <c:idx val="3"/>
              <c:layout>
                <c:manualLayout>
                  <c:x val="-4.4047625534697439E-2"/>
                  <c:y val="6.823292735275462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B3D-436C-923E-2EF231B4B365}"/>
                </c:ext>
              </c:extLst>
            </c:dLbl>
            <c:dLbl>
              <c:idx val="4"/>
              <c:layout>
                <c:manualLayout>
                  <c:x val="-1.6480641532711636E-2"/>
                  <c:y val="-1.253711899151292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B3D-436C-923E-2EF231B4B365}"/>
                </c:ext>
              </c:extLst>
            </c:dLbl>
            <c:dLbl>
              <c:idx val="5"/>
              <c:layout>
                <c:manualLayout>
                  <c:x val="-1.6117783664138758E-2"/>
                  <c:y val="-2.753798111002547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B3D-436C-923E-2EF231B4B365}"/>
                </c:ext>
              </c:extLst>
            </c:dLbl>
            <c:dLbl>
              <c:idx val="6"/>
              <c:layout>
                <c:manualLayout>
                  <c:x val="-0.21740810624478391"/>
                  <c:y val="-1.13933750981857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B3D-436C-923E-2EF231B4B365}"/>
                </c:ext>
              </c:extLst>
            </c:dLbl>
            <c:numFmt formatCode="0.0%" sourceLinked="0"/>
            <c:spPr>
              <a:noFill/>
              <a:ln>
                <a:noFill/>
              </a:ln>
              <a:effectLst/>
            </c:spPr>
            <c:txPr>
              <a:bodyPr/>
              <a:lstStyle/>
              <a:p>
                <a:pPr>
                  <a:defRPr sz="800" b="1"/>
                </a:pPr>
                <a:endParaRPr lang="es-GT"/>
              </a:p>
            </c:txPr>
            <c:showLegendKey val="0"/>
            <c:showVal val="0"/>
            <c:showCatName val="1"/>
            <c:showSerName val="0"/>
            <c:showPercent val="1"/>
            <c:showBubbleSize val="0"/>
            <c:showLeaderLines val="1"/>
            <c:extLst>
              <c:ext xmlns:c15="http://schemas.microsoft.com/office/drawing/2012/chart" uri="{CE6537A1-D6FC-4f65-9D91-7224C49458BB}"/>
            </c:extLst>
          </c:dLbls>
          <c:cat>
            <c:strRef>
              <c:f>Hoja1!$A$2:$A$7</c:f>
              <c:strCache>
                <c:ptCount val="6"/>
                <c:pt idx="0">
                  <c:v>ISO</c:v>
                </c:pt>
                <c:pt idx="1">
                  <c:v>DAI</c:v>
                </c:pt>
                <c:pt idx="2">
                  <c:v>Los demás</c:v>
                </c:pt>
                <c:pt idx="3">
                  <c:v>ISR</c:v>
                </c:pt>
                <c:pt idx="4">
                  <c:v>IVA dom</c:v>
                </c:pt>
                <c:pt idx="5">
                  <c:v>IVA imp</c:v>
                </c:pt>
              </c:strCache>
            </c:strRef>
          </c:cat>
          <c:val>
            <c:numRef>
              <c:f>Hoja1!$B$2:$B$7</c:f>
              <c:numCache>
                <c:formatCode>#,##0.0</c:formatCode>
                <c:ptCount val="6"/>
                <c:pt idx="0">
                  <c:v>2038.1914321899999</c:v>
                </c:pt>
                <c:pt idx="1">
                  <c:v>1078.38104183</c:v>
                </c:pt>
                <c:pt idx="2">
                  <c:v>3376.1055618600003</c:v>
                </c:pt>
                <c:pt idx="3">
                  <c:v>7724.97475983</c:v>
                </c:pt>
                <c:pt idx="4">
                  <c:v>5904.0316708600003</c:v>
                </c:pt>
                <c:pt idx="5">
                  <c:v>5964.3466193100003</c:v>
                </c:pt>
              </c:numCache>
            </c:numRef>
          </c:val>
          <c:extLst>
            <c:ext xmlns:c16="http://schemas.microsoft.com/office/drawing/2014/chart" uri="{C3380CC4-5D6E-409C-BE32-E72D297353CC}">
              <c16:uniqueId val="{00000007-5B3D-436C-923E-2EF231B4B365}"/>
            </c:ext>
          </c:extLst>
        </c:ser>
        <c:dLbls>
          <c:showLegendKey val="0"/>
          <c:showVal val="0"/>
          <c:showCatName val="0"/>
          <c:showSerName val="0"/>
          <c:showPercent val="0"/>
          <c:showBubbleSize val="0"/>
          <c:showLeaderLines val="1"/>
        </c:dLbls>
        <c:gapWidth val="100"/>
        <c:splitType val="pos"/>
        <c:splitPos val="3"/>
        <c:secondPieSize val="75"/>
        <c:serLines/>
      </c:ofPie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63857699827892"/>
          <c:y val="5.3472230993913655E-2"/>
          <c:w val="0.84901794338904668"/>
          <c:h val="0.77892045804688181"/>
        </c:manualLayout>
      </c:layout>
      <c:barChart>
        <c:barDir val="col"/>
        <c:grouping val="clustered"/>
        <c:varyColors val="0"/>
        <c:ser>
          <c:idx val="0"/>
          <c:order val="0"/>
          <c:tx>
            <c:strRef>
              <c:f>Hoja1!$B$1</c:f>
              <c:strCache>
                <c:ptCount val="1"/>
                <c:pt idx="0">
                  <c:v>Observado</c:v>
                </c:pt>
              </c:strCache>
            </c:strRef>
          </c:tx>
          <c:invertIfNegative val="0"/>
          <c:dLbls>
            <c:numFmt formatCode="#,##0.0" sourceLinked="0"/>
            <c:spPr>
              <a:noFill/>
              <a:ln>
                <a:noFill/>
              </a:ln>
              <a:effectLst/>
            </c:spPr>
            <c:txPr>
              <a:bodyPr rot="-5400000" vert="horz"/>
              <a:lstStyle/>
              <a:p>
                <a:pPr>
                  <a:defRPr sz="900" b="1"/>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Ene</c:v>
                </c:pt>
                <c:pt idx="1">
                  <c:v>Feb</c:v>
                </c:pt>
                <c:pt idx="2">
                  <c:v>Mar</c:v>
                </c:pt>
                <c:pt idx="3">
                  <c:v>Abr</c:v>
                </c:pt>
                <c:pt idx="4">
                  <c:v>May</c:v>
                </c:pt>
                <c:pt idx="5">
                  <c:v>Jun</c:v>
                </c:pt>
              </c:strCache>
            </c:strRef>
          </c:cat>
          <c:val>
            <c:numRef>
              <c:f>Hoja1!$B$2:$B$7</c:f>
              <c:numCache>
                <c:formatCode>#,##0.0</c:formatCode>
                <c:ptCount val="6"/>
                <c:pt idx="0">
                  <c:v>4921.7370413000008</c:v>
                </c:pt>
                <c:pt idx="1">
                  <c:v>3350.36568291</c:v>
                </c:pt>
                <c:pt idx="2">
                  <c:v>4244.1582652600009</c:v>
                </c:pt>
                <c:pt idx="3">
                  <c:v>5310.2536938900012</c:v>
                </c:pt>
                <c:pt idx="4">
                  <c:v>4454.4467279199998</c:v>
                </c:pt>
                <c:pt idx="5">
                  <c:v>3805.069674599999</c:v>
                </c:pt>
              </c:numCache>
            </c:numRef>
          </c:val>
          <c:extLst>
            <c:ext xmlns:c16="http://schemas.microsoft.com/office/drawing/2014/chart" uri="{C3380CC4-5D6E-409C-BE32-E72D297353CC}">
              <c16:uniqueId val="{00000000-11E3-4496-8934-F789FE5803B7}"/>
            </c:ext>
          </c:extLst>
        </c:ser>
        <c:ser>
          <c:idx val="1"/>
          <c:order val="1"/>
          <c:tx>
            <c:strRef>
              <c:f>Hoja1!$C$1</c:f>
              <c:strCache>
                <c:ptCount val="1"/>
                <c:pt idx="0">
                  <c:v>Presupuesto</c:v>
                </c:pt>
              </c:strCache>
            </c:strRef>
          </c:tx>
          <c:invertIfNegative val="0"/>
          <c:dLbls>
            <c:numFmt formatCode="#,##0.0" sourceLinked="0"/>
            <c:spPr>
              <a:noFill/>
              <a:ln>
                <a:noFill/>
              </a:ln>
              <a:effectLst/>
            </c:spPr>
            <c:txPr>
              <a:bodyPr rot="-5400000" vert="horz"/>
              <a:lstStyle/>
              <a:p>
                <a:pPr>
                  <a:defRPr sz="900" b="1">
                    <a:solidFill>
                      <a:schemeClr val="bg1"/>
                    </a:solidFill>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Ene</c:v>
                </c:pt>
                <c:pt idx="1">
                  <c:v>Feb</c:v>
                </c:pt>
                <c:pt idx="2">
                  <c:v>Mar</c:v>
                </c:pt>
                <c:pt idx="3">
                  <c:v>Abr</c:v>
                </c:pt>
                <c:pt idx="4">
                  <c:v>May</c:v>
                </c:pt>
                <c:pt idx="5">
                  <c:v>Jun</c:v>
                </c:pt>
              </c:strCache>
            </c:strRef>
          </c:cat>
          <c:val>
            <c:numRef>
              <c:f>Hoja1!$C$2:$C$7</c:f>
              <c:numCache>
                <c:formatCode>#,##0.0</c:formatCode>
                <c:ptCount val="6"/>
                <c:pt idx="0">
                  <c:v>4887.7148302026471</c:v>
                </c:pt>
                <c:pt idx="1">
                  <c:v>3439.2913989343078</c:v>
                </c:pt>
                <c:pt idx="2">
                  <c:v>4616.5192966087643</c:v>
                </c:pt>
                <c:pt idx="3">
                  <c:v>5639.1303698183019</c:v>
                </c:pt>
                <c:pt idx="4">
                  <c:v>3913.219141793998</c:v>
                </c:pt>
                <c:pt idx="5">
                  <c:v>3885.8640132168375</c:v>
                </c:pt>
              </c:numCache>
            </c:numRef>
          </c:val>
          <c:extLst>
            <c:ext xmlns:c16="http://schemas.microsoft.com/office/drawing/2014/chart" uri="{C3380CC4-5D6E-409C-BE32-E72D297353CC}">
              <c16:uniqueId val="{00000001-11E3-4496-8934-F789FE5803B7}"/>
            </c:ext>
          </c:extLst>
        </c:ser>
        <c:dLbls>
          <c:showLegendKey val="0"/>
          <c:showVal val="0"/>
          <c:showCatName val="0"/>
          <c:showSerName val="0"/>
          <c:showPercent val="0"/>
          <c:showBubbleSize val="0"/>
        </c:dLbls>
        <c:gapWidth val="44"/>
        <c:axId val="294329728"/>
        <c:axId val="297329792"/>
      </c:barChart>
      <c:catAx>
        <c:axId val="294329728"/>
        <c:scaling>
          <c:orientation val="minMax"/>
        </c:scaling>
        <c:delete val="0"/>
        <c:axPos val="b"/>
        <c:numFmt formatCode="General" sourceLinked="0"/>
        <c:majorTickMark val="out"/>
        <c:minorTickMark val="none"/>
        <c:tickLblPos val="nextTo"/>
        <c:txPr>
          <a:bodyPr/>
          <a:lstStyle/>
          <a:p>
            <a:pPr>
              <a:defRPr b="0"/>
            </a:pPr>
            <a:endParaRPr lang="es-GT"/>
          </a:p>
        </c:txPr>
        <c:crossAx val="297329792"/>
        <c:crosses val="autoZero"/>
        <c:auto val="1"/>
        <c:lblAlgn val="ctr"/>
        <c:lblOffset val="100"/>
        <c:noMultiLvlLbl val="0"/>
      </c:catAx>
      <c:valAx>
        <c:axId val="297329792"/>
        <c:scaling>
          <c:orientation val="minMax"/>
        </c:scaling>
        <c:delete val="0"/>
        <c:axPos val="l"/>
        <c:numFmt formatCode="#,##0" sourceLinked="0"/>
        <c:majorTickMark val="out"/>
        <c:minorTickMark val="none"/>
        <c:tickLblPos val="nextTo"/>
        <c:txPr>
          <a:bodyPr/>
          <a:lstStyle/>
          <a:p>
            <a:pPr>
              <a:defRPr sz="900" b="0"/>
            </a:pPr>
            <a:endParaRPr lang="es-GT"/>
          </a:p>
        </c:txPr>
        <c:crossAx val="294329728"/>
        <c:crosses val="autoZero"/>
        <c:crossBetween val="between"/>
      </c:valAx>
    </c:plotArea>
    <c:legend>
      <c:legendPos val="b"/>
      <c:layout>
        <c:manualLayout>
          <c:xMode val="edge"/>
          <c:yMode val="edge"/>
          <c:x val="0.16407064078397396"/>
          <c:y val="0.91753528378228366"/>
          <c:w val="0.66256541897413679"/>
          <c:h val="8.2464744498809792E-2"/>
        </c:manualLayout>
      </c:layout>
      <c:overlay val="0"/>
      <c:txPr>
        <a:bodyPr/>
        <a:lstStyle/>
        <a:p>
          <a:pPr>
            <a:defRPr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58982210557"/>
          <c:y val="9.409813734490213E-4"/>
          <c:w val="0.83146416593759109"/>
          <c:h val="0.92947786521419296"/>
        </c:manualLayout>
      </c:layout>
      <c:barChart>
        <c:barDir val="bar"/>
        <c:grouping val="clustered"/>
        <c:varyColors val="0"/>
        <c:ser>
          <c:idx val="0"/>
          <c:order val="0"/>
          <c:tx>
            <c:strRef>
              <c:f>Hoja1!$B$1</c:f>
              <c:strCache>
                <c:ptCount val="1"/>
                <c:pt idx="0">
                  <c:v>2016-2015</c:v>
                </c:pt>
              </c:strCache>
            </c:strRef>
          </c:tx>
          <c:invertIfNegative val="0"/>
          <c:dLbls>
            <c:spPr>
              <a:noFill/>
              <a:ln>
                <a:noFill/>
              </a:ln>
              <a:effectLst/>
            </c:spPr>
            <c:txPr>
              <a:bodyPr/>
              <a:lstStyle/>
              <a:p>
                <a:pPr>
                  <a:defRPr sz="800"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6"/>
                <c:pt idx="0">
                  <c:v>IVA imp</c:v>
                </c:pt>
                <c:pt idx="1">
                  <c:v>Cemento</c:v>
                </c:pt>
                <c:pt idx="2">
                  <c:v>Regalías</c:v>
                </c:pt>
                <c:pt idx="3">
                  <c:v>Salidas</c:v>
                </c:pt>
                <c:pt idx="4">
                  <c:v>Tabacos</c:v>
                </c:pt>
                <c:pt idx="5">
                  <c:v>Otros</c:v>
                </c:pt>
                <c:pt idx="6">
                  <c:v>Propiedad</c:v>
                </c:pt>
                <c:pt idx="7">
                  <c:v>Timbres</c:v>
                </c:pt>
                <c:pt idx="8">
                  <c:v>Bebidas</c:v>
                </c:pt>
                <c:pt idx="9">
                  <c:v>IPRIMA</c:v>
                </c:pt>
                <c:pt idx="10">
                  <c:v>Vehículos</c:v>
                </c:pt>
                <c:pt idx="11">
                  <c:v>ISO</c:v>
                </c:pt>
                <c:pt idx="12">
                  <c:v>DAI</c:v>
                </c:pt>
                <c:pt idx="13">
                  <c:v>Petróleo</c:v>
                </c:pt>
                <c:pt idx="14">
                  <c:v>IVA dom</c:v>
                </c:pt>
                <c:pt idx="15">
                  <c:v>ISR</c:v>
                </c:pt>
              </c:strCache>
            </c:strRef>
          </c:cat>
          <c:val>
            <c:numRef>
              <c:f>Hoja1!$B$2:$B$19</c:f>
              <c:numCache>
                <c:formatCode>#,##0.0</c:formatCode>
                <c:ptCount val="16"/>
                <c:pt idx="0">
                  <c:v>-124.83284245999948</c:v>
                </c:pt>
                <c:pt idx="1">
                  <c:v>-111.11373937999998</c:v>
                </c:pt>
                <c:pt idx="2">
                  <c:v>-50.949052259999988</c:v>
                </c:pt>
                <c:pt idx="3">
                  <c:v>-8.655291599999984</c:v>
                </c:pt>
                <c:pt idx="4">
                  <c:v>-4.8769789000000117</c:v>
                </c:pt>
                <c:pt idx="5">
                  <c:v>0.78376067999999965</c:v>
                </c:pt>
                <c:pt idx="6">
                  <c:v>1.9715758799999996</c:v>
                </c:pt>
                <c:pt idx="7">
                  <c:v>4.4742648899999722</c:v>
                </c:pt>
                <c:pt idx="8">
                  <c:v>27.47164194000004</c:v>
                </c:pt>
                <c:pt idx="9">
                  <c:v>33.035331729999939</c:v>
                </c:pt>
                <c:pt idx="10">
                  <c:v>42.564286019999997</c:v>
                </c:pt>
                <c:pt idx="11">
                  <c:v>107.17850388999977</c:v>
                </c:pt>
                <c:pt idx="12">
                  <c:v>130.35144235999985</c:v>
                </c:pt>
                <c:pt idx="13">
                  <c:v>173.09870836000005</c:v>
                </c:pt>
                <c:pt idx="14">
                  <c:v>472.17297485000017</c:v>
                </c:pt>
                <c:pt idx="15">
                  <c:v>898.08100626000032</c:v>
                </c:pt>
              </c:numCache>
            </c:numRef>
          </c:val>
          <c:extLst>
            <c:ext xmlns:c16="http://schemas.microsoft.com/office/drawing/2014/chart" uri="{C3380CC4-5D6E-409C-BE32-E72D297353CC}">
              <c16:uniqueId val="{00000000-B797-42A7-A30C-736216E275F6}"/>
            </c:ext>
          </c:extLst>
        </c:ser>
        <c:ser>
          <c:idx val="1"/>
          <c:order val="1"/>
          <c:tx>
            <c:strRef>
              <c:f>Hoja1!$C$1</c:f>
              <c:strCache>
                <c:ptCount val="1"/>
                <c:pt idx="0">
                  <c:v>2016-Pres</c:v>
                </c:pt>
              </c:strCache>
            </c:strRef>
          </c:tx>
          <c:invertIfNegative val="0"/>
          <c:dLbls>
            <c:spPr>
              <a:noFill/>
              <a:ln>
                <a:noFill/>
              </a:ln>
              <a:effectLst/>
            </c:spPr>
            <c:txPr>
              <a:bodyPr/>
              <a:lstStyle/>
              <a:p>
                <a:pPr>
                  <a:defRPr sz="800" b="1">
                    <a:solidFill>
                      <a:srgbClr val="C0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6"/>
                <c:pt idx="0">
                  <c:v>IVA imp</c:v>
                </c:pt>
                <c:pt idx="1">
                  <c:v>Cemento</c:v>
                </c:pt>
                <c:pt idx="2">
                  <c:v>Regalías</c:v>
                </c:pt>
                <c:pt idx="3">
                  <c:v>Salidas</c:v>
                </c:pt>
                <c:pt idx="4">
                  <c:v>Tabacos</c:v>
                </c:pt>
                <c:pt idx="5">
                  <c:v>Otros</c:v>
                </c:pt>
                <c:pt idx="6">
                  <c:v>Propiedad</c:v>
                </c:pt>
                <c:pt idx="7">
                  <c:v>Timbres</c:v>
                </c:pt>
                <c:pt idx="8">
                  <c:v>Bebidas</c:v>
                </c:pt>
                <c:pt idx="9">
                  <c:v>IPRIMA</c:v>
                </c:pt>
                <c:pt idx="10">
                  <c:v>Vehículos</c:v>
                </c:pt>
                <c:pt idx="11">
                  <c:v>ISO</c:v>
                </c:pt>
                <c:pt idx="12">
                  <c:v>DAI</c:v>
                </c:pt>
                <c:pt idx="13">
                  <c:v>Petróleo</c:v>
                </c:pt>
                <c:pt idx="14">
                  <c:v>IVA dom</c:v>
                </c:pt>
                <c:pt idx="15">
                  <c:v>ISR</c:v>
                </c:pt>
              </c:strCache>
            </c:strRef>
          </c:cat>
          <c:val>
            <c:numRef>
              <c:f>Hoja1!$C$2:$C$19</c:f>
              <c:numCache>
                <c:formatCode>#,##0.0</c:formatCode>
                <c:ptCount val="16"/>
                <c:pt idx="0">
                  <c:v>-582.36668631999964</c:v>
                </c:pt>
                <c:pt idx="1">
                  <c:v>1.7398946499999965</c:v>
                </c:pt>
                <c:pt idx="2">
                  <c:v>-45.50233284395209</c:v>
                </c:pt>
                <c:pt idx="3">
                  <c:v>-25.70796716090284</c:v>
                </c:pt>
                <c:pt idx="4">
                  <c:v>-30.657472049999996</c:v>
                </c:pt>
                <c:pt idx="5">
                  <c:v>1.0119987299999995</c:v>
                </c:pt>
                <c:pt idx="6">
                  <c:v>3.0436997100000012</c:v>
                </c:pt>
                <c:pt idx="7">
                  <c:v>-11.724417670000008</c:v>
                </c:pt>
                <c:pt idx="8">
                  <c:v>19.72591390000008</c:v>
                </c:pt>
                <c:pt idx="9">
                  <c:v>50.82622133000001</c:v>
                </c:pt>
                <c:pt idx="10">
                  <c:v>40.605950329999985</c:v>
                </c:pt>
                <c:pt idx="11">
                  <c:v>-13.698633470000004</c:v>
                </c:pt>
                <c:pt idx="12">
                  <c:v>119.36686448</c:v>
                </c:pt>
                <c:pt idx="13">
                  <c:v>170.00499474999992</c:v>
                </c:pt>
                <c:pt idx="14">
                  <c:v>-214.62355743499938</c:v>
                </c:pt>
                <c:pt idx="15">
                  <c:v>220.80479176500012</c:v>
                </c:pt>
              </c:numCache>
            </c:numRef>
          </c:val>
          <c:extLst>
            <c:ext xmlns:c16="http://schemas.microsoft.com/office/drawing/2014/chart" uri="{C3380CC4-5D6E-409C-BE32-E72D297353CC}">
              <c16:uniqueId val="{00000001-B797-42A7-A30C-736216E275F6}"/>
            </c:ext>
          </c:extLst>
        </c:ser>
        <c:dLbls>
          <c:showLegendKey val="0"/>
          <c:showVal val="0"/>
          <c:showCatName val="0"/>
          <c:showSerName val="0"/>
          <c:showPercent val="0"/>
          <c:showBubbleSize val="0"/>
        </c:dLbls>
        <c:gapWidth val="48"/>
        <c:axId val="299305600"/>
        <c:axId val="299315584"/>
      </c:barChart>
      <c:catAx>
        <c:axId val="299305600"/>
        <c:scaling>
          <c:orientation val="minMax"/>
        </c:scaling>
        <c:delete val="0"/>
        <c:axPos val="l"/>
        <c:majorGridlines>
          <c:spPr>
            <a:ln>
              <a:solidFill>
                <a:schemeClr val="accent1">
                  <a:alpha val="20000"/>
                </a:schemeClr>
              </a:solidFill>
            </a:ln>
          </c:spPr>
        </c:majorGridlines>
        <c:numFmt formatCode="General" sourceLinked="0"/>
        <c:majorTickMark val="out"/>
        <c:minorTickMark val="none"/>
        <c:tickLblPos val="low"/>
        <c:txPr>
          <a:bodyPr/>
          <a:lstStyle/>
          <a:p>
            <a:pPr>
              <a:defRPr b="0"/>
            </a:pPr>
            <a:endParaRPr lang="es-GT"/>
          </a:p>
        </c:txPr>
        <c:crossAx val="299315584"/>
        <c:crosses val="autoZero"/>
        <c:auto val="1"/>
        <c:lblAlgn val="ctr"/>
        <c:lblOffset val="100"/>
        <c:noMultiLvlLbl val="0"/>
      </c:catAx>
      <c:valAx>
        <c:axId val="299315584"/>
        <c:scaling>
          <c:orientation val="minMax"/>
        </c:scaling>
        <c:delete val="0"/>
        <c:axPos val="b"/>
        <c:majorGridlines>
          <c:spPr>
            <a:ln>
              <a:solidFill>
                <a:schemeClr val="accent1">
                  <a:alpha val="20000"/>
                </a:schemeClr>
              </a:solidFill>
            </a:ln>
          </c:spPr>
        </c:majorGridlines>
        <c:numFmt formatCode="#,##0" sourceLinked="0"/>
        <c:majorTickMark val="out"/>
        <c:minorTickMark val="none"/>
        <c:tickLblPos val="nextTo"/>
        <c:txPr>
          <a:bodyPr/>
          <a:lstStyle/>
          <a:p>
            <a:pPr>
              <a:defRPr b="0"/>
            </a:pPr>
            <a:endParaRPr lang="es-GT"/>
          </a:p>
        </c:txPr>
        <c:crossAx val="299305600"/>
        <c:crosses val="autoZero"/>
        <c:crossBetween val="between"/>
      </c:valAx>
    </c:plotArea>
    <c:legend>
      <c:legendPos val="b"/>
      <c:layout>
        <c:manualLayout>
          <c:xMode val="edge"/>
          <c:yMode val="edge"/>
          <c:x val="0.66368292505103532"/>
          <c:y val="0.87084458206828252"/>
          <c:w val="0.29298592884222807"/>
          <c:h val="5.1039710977523765E-2"/>
        </c:manualLayout>
      </c:layout>
      <c:overlay val="0"/>
      <c:txPr>
        <a:bodyPr/>
        <a:lstStyle/>
        <a:p>
          <a:pPr>
            <a:defRPr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0.94761</cdr:x>
      <cdr:y>0</cdr:y>
    </cdr:from>
    <cdr:to>
      <cdr:x>0.99936</cdr:x>
      <cdr:y>0.85013</cdr:y>
    </cdr:to>
    <cdr:sp macro="" textlink="">
      <cdr:nvSpPr>
        <cdr:cNvPr id="2" name="1 Rectángulo"/>
        <cdr:cNvSpPr/>
      </cdr:nvSpPr>
      <cdr:spPr>
        <a:xfrm xmlns:a="http://schemas.openxmlformats.org/drawingml/2006/main">
          <a:off x="4732605" y="0"/>
          <a:ext cx="258495" cy="1847850"/>
        </a:xfrm>
        <a:prstGeom xmlns:a="http://schemas.openxmlformats.org/drawingml/2006/main" prst="rect">
          <a:avLst/>
        </a:prstGeom>
        <a:solidFill xmlns:a="http://schemas.openxmlformats.org/drawingml/2006/main">
          <a:schemeClr val="accent1">
            <a:alpha val="19000"/>
          </a:schemeClr>
        </a:solidFill>
        <a:ln xmlns:a="http://schemas.openxmlformats.org/drawingml/2006/main" w="6350">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drawings/drawing2.xml><?xml version="1.0" encoding="utf-8"?>
<c:userShapes xmlns:c="http://schemas.openxmlformats.org/drawingml/2006/chart">
  <cdr:relSizeAnchor xmlns:cdr="http://schemas.openxmlformats.org/drawingml/2006/chartDrawing">
    <cdr:from>
      <cdr:x>0.92176</cdr:x>
      <cdr:y>0.02363</cdr:y>
    </cdr:from>
    <cdr:to>
      <cdr:x>0.98293</cdr:x>
      <cdr:y>0.9726</cdr:y>
    </cdr:to>
    <cdr:sp macro="" textlink="">
      <cdr:nvSpPr>
        <cdr:cNvPr id="2" name="1 Rectángulo"/>
        <cdr:cNvSpPr/>
      </cdr:nvSpPr>
      <cdr:spPr>
        <a:xfrm xmlns:a="http://schemas.openxmlformats.org/drawingml/2006/main">
          <a:off x="3252016" y="51759"/>
          <a:ext cx="215804" cy="2078966"/>
        </a:xfrm>
        <a:prstGeom xmlns:a="http://schemas.openxmlformats.org/drawingml/2006/main" prst="rect">
          <a:avLst/>
        </a:prstGeom>
        <a:solidFill xmlns:a="http://schemas.openxmlformats.org/drawingml/2006/main">
          <a:schemeClr val="accent1">
            <a:alpha val="19000"/>
          </a:schemeClr>
        </a:solidFill>
        <a:ln xmlns:a="http://schemas.openxmlformats.org/drawingml/2006/main" w="6350">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dr:relSizeAnchor xmlns:cdr="http://schemas.openxmlformats.org/drawingml/2006/chartDrawing">
    <cdr:from>
      <cdr:x>0.26162</cdr:x>
      <cdr:y>0.17357</cdr:y>
    </cdr:from>
    <cdr:to>
      <cdr:x>0.86067</cdr:x>
      <cdr:y>0.24839</cdr:y>
    </cdr:to>
    <cdr:sp macro="" textlink="">
      <cdr:nvSpPr>
        <cdr:cNvPr id="3" name="2 Cuadro de texto"/>
        <cdr:cNvSpPr txBox="1"/>
      </cdr:nvSpPr>
      <cdr:spPr>
        <a:xfrm xmlns:a="http://schemas.openxmlformats.org/drawingml/2006/main">
          <a:off x="880150" y="341335"/>
          <a:ext cx="2015342" cy="1471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GT" sz="700">
              <a:latin typeface="Times New Roman" panose="02020603050405020304" pitchFamily="18" charset="0"/>
              <a:cs typeface="Times New Roman" panose="02020603050405020304" pitchFamily="18" charset="0"/>
            </a:rPr>
            <a:t>Meta de inflación 4.0% +/- 1 pp</a:t>
          </a:r>
        </a:p>
      </cdr:txBody>
    </cdr:sp>
  </cdr:relSizeAnchor>
</c:userShapes>
</file>

<file path=word/drawings/drawing3.xml><?xml version="1.0" encoding="utf-8"?>
<c:userShapes xmlns:c="http://schemas.openxmlformats.org/drawingml/2006/chart">
  <cdr:relSizeAnchor xmlns:cdr="http://schemas.openxmlformats.org/drawingml/2006/chartDrawing">
    <cdr:from>
      <cdr:x>0.6655</cdr:x>
      <cdr:y>0.04969</cdr:y>
    </cdr:from>
    <cdr:to>
      <cdr:x>0.66835</cdr:x>
      <cdr:y>0.68467</cdr:y>
    </cdr:to>
    <cdr:cxnSp macro="">
      <cdr:nvCxnSpPr>
        <cdr:cNvPr id="3" name="2 Conector recto"/>
        <cdr:cNvCxnSpPr/>
      </cdr:nvCxnSpPr>
      <cdr:spPr>
        <a:xfrm xmlns:a="http://schemas.openxmlformats.org/drawingml/2006/main" flipV="1">
          <a:off x="2468351" y="95140"/>
          <a:ext cx="10571" cy="1215676"/>
        </a:xfrm>
        <a:prstGeom xmlns:a="http://schemas.openxmlformats.org/drawingml/2006/main" prst="line">
          <a:avLst/>
        </a:prstGeom>
        <a:ln xmlns:a="http://schemas.openxmlformats.org/drawingml/2006/main" w="31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0.30068</cdr:x>
      <cdr:y>0.06074</cdr:y>
    </cdr:from>
    <cdr:to>
      <cdr:x>0.6541</cdr:x>
      <cdr:y>0.15736</cdr:y>
    </cdr:to>
    <cdr:sp macro="" textlink="">
      <cdr:nvSpPr>
        <cdr:cNvPr id="4" name="3 Cuadro de texto"/>
        <cdr:cNvSpPr txBox="1"/>
      </cdr:nvSpPr>
      <cdr:spPr>
        <a:xfrm xmlns:a="http://schemas.openxmlformats.org/drawingml/2006/main">
          <a:off x="1115251" y="116282"/>
          <a:ext cx="1310816" cy="1849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GT" sz="700">
              <a:latin typeface="Times New Roman" panose="02020603050405020304" pitchFamily="18" charset="0"/>
              <a:cs typeface="Times New Roman" panose="02020603050405020304" pitchFamily="18" charset="0"/>
            </a:rPr>
            <a:t>zona de expansión</a:t>
          </a:r>
        </a:p>
      </cdr:txBody>
    </cdr:sp>
  </cdr:relSizeAnchor>
  <cdr:relSizeAnchor xmlns:cdr="http://schemas.openxmlformats.org/drawingml/2006/chartDrawing">
    <cdr:from>
      <cdr:x>0.32064</cdr:x>
      <cdr:y>0.57424</cdr:y>
    </cdr:from>
    <cdr:to>
      <cdr:x>0.71252</cdr:x>
      <cdr:y>0.67639</cdr:y>
    </cdr:to>
    <cdr:sp macro="" textlink="">
      <cdr:nvSpPr>
        <cdr:cNvPr id="5" name="4 Cuadro de texto"/>
        <cdr:cNvSpPr txBox="1"/>
      </cdr:nvSpPr>
      <cdr:spPr>
        <a:xfrm xmlns:a="http://schemas.openxmlformats.org/drawingml/2006/main">
          <a:off x="1189248" y="1099395"/>
          <a:ext cx="1453526" cy="195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GT" sz="700">
              <a:latin typeface="Times New Roman" panose="02020603050405020304" pitchFamily="18" charset="0"/>
              <a:cs typeface="Times New Roman" panose="02020603050405020304" pitchFamily="18" charset="0"/>
            </a:rPr>
            <a:t>zona de contracción</a:t>
          </a:r>
        </a:p>
      </cdr:txBody>
    </cdr:sp>
  </cdr:relSizeAnchor>
  <cdr:relSizeAnchor xmlns:cdr="http://schemas.openxmlformats.org/drawingml/2006/chartDrawing">
    <cdr:from>
      <cdr:x>0.91627</cdr:x>
      <cdr:y>0.03018</cdr:y>
    </cdr:from>
    <cdr:to>
      <cdr:x>0.9851</cdr:x>
      <cdr:y>0.96573</cdr:y>
    </cdr:to>
    <cdr:sp macro="" textlink="">
      <cdr:nvSpPr>
        <cdr:cNvPr id="6" name="5 Rectángulo"/>
        <cdr:cNvSpPr/>
      </cdr:nvSpPr>
      <cdr:spPr>
        <a:xfrm xmlns:a="http://schemas.openxmlformats.org/drawingml/2006/main">
          <a:off x="3674853" y="60385"/>
          <a:ext cx="276046" cy="1871932"/>
        </a:xfrm>
        <a:prstGeom xmlns:a="http://schemas.openxmlformats.org/drawingml/2006/main" prst="rect">
          <a:avLst/>
        </a:prstGeom>
        <a:solidFill xmlns:a="http://schemas.openxmlformats.org/drawingml/2006/main">
          <a:schemeClr val="accent1">
            <a:alpha val="19000"/>
          </a:schemeClr>
        </a:solidFill>
        <a:ln xmlns:a="http://schemas.openxmlformats.org/drawingml/2006/main" w="6350">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drawings/drawing4.xml><?xml version="1.0" encoding="utf-8"?>
<c:userShapes xmlns:c="http://schemas.openxmlformats.org/drawingml/2006/chart">
  <cdr:relSizeAnchor xmlns:cdr="http://schemas.openxmlformats.org/drawingml/2006/chartDrawing">
    <cdr:from>
      <cdr:x>0.74117</cdr:x>
      <cdr:y>0.0316</cdr:y>
    </cdr:from>
    <cdr:to>
      <cdr:x>0.99907</cdr:x>
      <cdr:y>0.22363</cdr:y>
    </cdr:to>
    <cdr:sp macro="" textlink="">
      <cdr:nvSpPr>
        <cdr:cNvPr id="2" name="1 Llamada con línea 1"/>
        <cdr:cNvSpPr/>
      </cdr:nvSpPr>
      <cdr:spPr>
        <a:xfrm xmlns:a="http://schemas.openxmlformats.org/drawingml/2006/main">
          <a:off x="2025650" y="82550"/>
          <a:ext cx="704850" cy="501650"/>
        </a:xfrm>
        <a:prstGeom xmlns:a="http://schemas.openxmlformats.org/drawingml/2006/main" prst="borderCallout1">
          <a:avLst>
            <a:gd name="adj1" fmla="val 55417"/>
            <a:gd name="adj2" fmla="val -3571"/>
            <a:gd name="adj3" fmla="val 132641"/>
            <a:gd name="adj4" fmla="val -4047"/>
          </a:avLst>
        </a:prstGeom>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wrap="square">
          <a:noAutofit/>
        </a:bodyPr>
        <a:lstStyle xmlns:a="http://schemas.openxmlformats.org/drawingml/2006/main"/>
        <a:p xmlns:a="http://schemas.openxmlformats.org/drawingml/2006/main">
          <a:pPr algn="ctr"/>
          <a:r>
            <a:rPr lang="es-GT" sz="700" b="1">
              <a:latin typeface="Times New Roman" panose="02020603050405020304" pitchFamily="18" charset="0"/>
              <a:cs typeface="Times New Roman" panose="02020603050405020304" pitchFamily="18" charset="0"/>
            </a:rPr>
            <a:t>Efecto de Adeudos Tributarios</a:t>
          </a:r>
        </a:p>
        <a:p xmlns:a="http://schemas.openxmlformats.org/drawingml/2006/main">
          <a:pPr algn="ctr"/>
          <a:r>
            <a:rPr lang="es-GT" sz="600" b="1">
              <a:latin typeface="Times New Roman" panose="02020603050405020304" pitchFamily="18" charset="0"/>
              <a:cs typeface="Times New Roman" panose="02020603050405020304" pitchFamily="18" charset="0"/>
            </a:rPr>
            <a:t>Q829.2 millones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1CCA47167D3E42B3B6C4B923505C3E"/>
        <w:category>
          <w:name w:val="General"/>
          <w:gallery w:val="placeholder"/>
        </w:category>
        <w:types>
          <w:type w:val="bbPlcHdr"/>
        </w:types>
        <w:behaviors>
          <w:behavior w:val="content"/>
        </w:behaviors>
        <w:guid w:val="{5BF604FC-F1A1-5B4B-B8A9-FB470243A967}"/>
      </w:docPartPr>
      <w:docPartBody>
        <w:p w:rsidR="00A34652" w:rsidRDefault="00A34652">
          <w:pPr>
            <w:pStyle w:val="A41CCA47167D3E42B3B6C4B923505C3E"/>
          </w:pPr>
          <w:r>
            <w:rPr>
              <w:lang w:val="es-ES"/>
            </w:rPr>
            <w:t>[Escriba texto]</w:t>
          </w:r>
        </w:p>
      </w:docPartBody>
    </w:docPart>
    <w:docPart>
      <w:docPartPr>
        <w:name w:val="C60E729FB9B248469EFC054221C61557"/>
        <w:category>
          <w:name w:val="General"/>
          <w:gallery w:val="placeholder"/>
        </w:category>
        <w:types>
          <w:type w:val="bbPlcHdr"/>
        </w:types>
        <w:behaviors>
          <w:behavior w:val="content"/>
        </w:behaviors>
        <w:guid w:val="{2625C0CF-5AAA-6741-B3A9-1E7EA87A3F8B}"/>
      </w:docPartPr>
      <w:docPartBody>
        <w:p w:rsidR="00A34652" w:rsidRDefault="00A34652">
          <w:pPr>
            <w:pStyle w:val="C60E729FB9B248469EFC054221C61557"/>
          </w:pPr>
          <w:r>
            <w:rPr>
              <w:lang w:val="es-ES"/>
            </w:rPr>
            <w:t>[Escriba texto]</w:t>
          </w:r>
        </w:p>
      </w:docPartBody>
    </w:docPart>
    <w:docPart>
      <w:docPartPr>
        <w:name w:val="20716D6324A2FC409975507E16F7759F"/>
        <w:category>
          <w:name w:val="General"/>
          <w:gallery w:val="placeholder"/>
        </w:category>
        <w:types>
          <w:type w:val="bbPlcHdr"/>
        </w:types>
        <w:behaviors>
          <w:behavior w:val="content"/>
        </w:behaviors>
        <w:guid w:val="{0D855C84-829C-684C-88FE-D20DDCAD265F}"/>
      </w:docPartPr>
      <w:docPartBody>
        <w:p w:rsidR="00A34652" w:rsidRDefault="00A34652">
          <w:pPr>
            <w:pStyle w:val="20716D6324A2FC409975507E16F7759F"/>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D4"/>
    <w:rsid w:val="000324CC"/>
    <w:rsid w:val="002A226C"/>
    <w:rsid w:val="00331126"/>
    <w:rsid w:val="00363B2A"/>
    <w:rsid w:val="003847DF"/>
    <w:rsid w:val="00442EC5"/>
    <w:rsid w:val="00521C41"/>
    <w:rsid w:val="00527B77"/>
    <w:rsid w:val="0056740D"/>
    <w:rsid w:val="006473B3"/>
    <w:rsid w:val="00672C88"/>
    <w:rsid w:val="006D3EA3"/>
    <w:rsid w:val="007C1589"/>
    <w:rsid w:val="00871CD4"/>
    <w:rsid w:val="008B4EAF"/>
    <w:rsid w:val="008B5760"/>
    <w:rsid w:val="00A252EE"/>
    <w:rsid w:val="00A34652"/>
    <w:rsid w:val="00A62959"/>
    <w:rsid w:val="00A85162"/>
    <w:rsid w:val="00B00568"/>
    <w:rsid w:val="00C35598"/>
    <w:rsid w:val="00CD212C"/>
    <w:rsid w:val="00D67882"/>
    <w:rsid w:val="00E07CBE"/>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G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4F0AD2BB5487489522620FF345AF31">
    <w:name w:val="584F0AD2BB5487489522620FF345AF31"/>
    <w:rsid w:val="00871CD4"/>
  </w:style>
  <w:style w:type="paragraph" w:customStyle="1" w:styleId="4E0F0E3CDBF20A4883F7CA4C7A63ADC4">
    <w:name w:val="4E0F0E3CDBF20A4883F7CA4C7A63ADC4"/>
    <w:rsid w:val="00871CD4"/>
  </w:style>
  <w:style w:type="paragraph" w:customStyle="1" w:styleId="7FED2FCB06E9DB42BF4575EF70E3FE98">
    <w:name w:val="7FED2FCB06E9DB42BF4575EF70E3FE98"/>
    <w:rsid w:val="00871CD4"/>
  </w:style>
  <w:style w:type="paragraph" w:customStyle="1" w:styleId="1E193FCFCDAF324FA53AC6A58DE0E485">
    <w:name w:val="1E193FCFCDAF324FA53AC6A58DE0E485"/>
    <w:rsid w:val="00871CD4"/>
  </w:style>
  <w:style w:type="paragraph" w:customStyle="1" w:styleId="BC78B6F56BEB9541AFC1E99997B0397C">
    <w:name w:val="BC78B6F56BEB9541AFC1E99997B0397C"/>
    <w:rsid w:val="00871CD4"/>
  </w:style>
  <w:style w:type="paragraph" w:customStyle="1" w:styleId="9293CA2D0672604AB2337BAA120DCAC0">
    <w:name w:val="9293CA2D0672604AB2337BAA120DCAC0"/>
    <w:rsid w:val="00871CD4"/>
  </w:style>
  <w:style w:type="paragraph" w:customStyle="1" w:styleId="A41CCA47167D3E42B3B6C4B923505C3E">
    <w:name w:val="A41CCA47167D3E42B3B6C4B923505C3E"/>
  </w:style>
  <w:style w:type="paragraph" w:customStyle="1" w:styleId="C60E729FB9B248469EFC054221C61557">
    <w:name w:val="C60E729FB9B248469EFC054221C61557"/>
  </w:style>
  <w:style w:type="paragraph" w:customStyle="1" w:styleId="20716D6324A2FC409975507E16F7759F">
    <w:name w:val="20716D6324A2FC409975507E16F7759F"/>
  </w:style>
  <w:style w:type="paragraph" w:customStyle="1" w:styleId="2E64D058F387B94FB9C61114B85C4162">
    <w:name w:val="2E64D058F387B94FB9C61114B85C4162"/>
  </w:style>
  <w:style w:type="paragraph" w:customStyle="1" w:styleId="6DE48C68638B6A4984EB2FA129E185C8">
    <w:name w:val="6DE48C68638B6A4984EB2FA129E185C8"/>
  </w:style>
  <w:style w:type="paragraph" w:customStyle="1" w:styleId="98271A208894FA4A8417D6A4839E1A35">
    <w:name w:val="98271A208894FA4A8417D6A4839E1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2FCD-F803-4624-A5DC-B4E1D7B4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9182</Words>
  <Characters>50502</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Minfin</Company>
  <LinksUpToDate>false</LinksUpToDate>
  <CharactersWithSpaces>59565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Recursos Humanos</dc:creator>
  <cp:lastModifiedBy>Saul Enrique De León Meneses</cp:lastModifiedBy>
  <cp:revision>2</cp:revision>
  <dcterms:created xsi:type="dcterms:W3CDTF">2018-05-16T14:38:00Z</dcterms:created>
  <dcterms:modified xsi:type="dcterms:W3CDTF">2018-05-16T14:38:00Z</dcterms:modified>
</cp:coreProperties>
</file>