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3.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4.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C6D" w:rsidRPr="009D4D2F" w:rsidRDefault="00251639" w:rsidP="00C34BC3">
      <w:pPr>
        <w:ind w:left="142"/>
        <w:rPr>
          <w:lang w:val="es-GT"/>
        </w:rPr>
      </w:pPr>
      <w:bookmarkStart w:id="0" w:name="_GoBack"/>
      <w:bookmarkEnd w:id="0"/>
      <w:r>
        <w:rPr>
          <w:noProof/>
          <w:lang w:val="es-GT" w:eastAsia="es-GT"/>
        </w:rPr>
        <mc:AlternateContent>
          <mc:Choice Requires="wps">
            <w:drawing>
              <wp:anchor distT="4294967291" distB="4294967291" distL="114300" distR="114300" simplePos="0" relativeHeight="251651072" behindDoc="0" locked="0" layoutInCell="1" allowOverlap="1" wp14:anchorId="3EA8627C" wp14:editId="5CD70CA2">
                <wp:simplePos x="0" y="0"/>
                <wp:positionH relativeFrom="column">
                  <wp:posOffset>-335280</wp:posOffset>
                </wp:positionH>
                <wp:positionV relativeFrom="paragraph">
                  <wp:posOffset>48259</wp:posOffset>
                </wp:positionV>
                <wp:extent cx="6373495" cy="0"/>
                <wp:effectExtent l="19050" t="76200" r="141605" b="114300"/>
                <wp:wrapNone/>
                <wp:docPr id="1" name="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73495" cy="0"/>
                        </a:xfrm>
                        <a:prstGeom prst="line">
                          <a:avLst/>
                        </a:prstGeom>
                        <a:noFill/>
                        <a:ln w="31750" cap="rnd" cmpd="dbl" algn="ctr">
                          <a:solidFill>
                            <a:srgbClr val="4F81BD">
                              <a:shade val="95000"/>
                              <a:satMod val="105000"/>
                            </a:srgbClr>
                          </a:solidFill>
                          <a:prstDash val="solid"/>
                        </a:ln>
                        <a:effectLst>
                          <a:outerShdw blurRad="50800" dist="38100" algn="l" rotWithShape="0">
                            <a:prstClr val="black">
                              <a:alpha val="40000"/>
                            </a:prstClr>
                          </a:outerShdw>
                        </a:effectLst>
                        <a:scene3d>
                          <a:camera prst="orthographicFront"/>
                          <a:lightRig rig="soft" dir="t"/>
                        </a:scene3d>
                        <a:sp3d>
                          <a:bevelT/>
                        </a:sp3d>
                      </wps:spPr>
                      <wps:bodyPr/>
                    </wps:wsp>
                  </a:graphicData>
                </a:graphic>
                <wp14:sizeRelH relativeFrom="page">
                  <wp14:pctWidth>0</wp14:pctWidth>
                </wp14:sizeRelH>
                <wp14:sizeRelV relativeFrom="page">
                  <wp14:pctHeight>0</wp14:pctHeight>
                </wp14:sizeRelV>
              </wp:anchor>
            </w:drawing>
          </mc:Choice>
          <mc:Fallback>
            <w:pict>
              <v:line w14:anchorId="463ABFB2" id="27 Conector recto" o:spid="_x0000_s1026" style="position:absolute;z-index:2516510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6.4pt,3.8pt" to="475.4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" strokecolor="#4a7ebb" strokeweight="2.5pt">
                <v:stroke linestyle="thinThin" endcap="round"/>
                <v:shadow on="t" color="black" opacity="26214f" origin="-.5" offset="3pt,0"/>
                <o:lock v:ext="edit" shapetype="f"/>
              </v:line>
            </w:pict>
          </mc:Fallback>
        </mc:AlternateContent>
      </w:r>
    </w:p>
    <w:p w:rsidR="008B2C6D" w:rsidRPr="009D4D2F" w:rsidRDefault="008B2C6D" w:rsidP="008B2C6D">
      <w:pPr>
        <w:ind w:left="142"/>
        <w:jc w:val="center"/>
        <w:rPr>
          <w:lang w:val="es-GT"/>
        </w:rPr>
      </w:pPr>
    </w:p>
    <w:p w:rsidR="009B198F" w:rsidRPr="009D4D2F" w:rsidRDefault="009B198F" w:rsidP="009B198F">
      <w:pPr>
        <w:rPr>
          <w:b/>
        </w:rPr>
      </w:pPr>
    </w:p>
    <w:p w:rsidR="00704EFF" w:rsidRPr="004F48BD" w:rsidRDefault="00704EFF" w:rsidP="004F48BD">
      <w:pPr>
        <w:jc w:val="center"/>
        <w:rPr>
          <w:b/>
          <w:sz w:val="40"/>
          <w:szCs w:val="40"/>
        </w:rPr>
      </w:pPr>
      <w:r w:rsidRPr="004F48BD">
        <w:rPr>
          <w:b/>
          <w:sz w:val="40"/>
          <w:szCs w:val="40"/>
        </w:rPr>
        <w:t>MINISTERIO DE FINANZAS PÚBLICAS</w:t>
      </w:r>
    </w:p>
    <w:p w:rsidR="00704EFF" w:rsidRPr="004F48BD" w:rsidRDefault="00704EFF" w:rsidP="00704EFF">
      <w:pPr>
        <w:spacing w:line="480" w:lineRule="auto"/>
        <w:jc w:val="center"/>
        <w:rPr>
          <w:b/>
          <w:sz w:val="28"/>
          <w:szCs w:val="28"/>
        </w:rPr>
      </w:pPr>
    </w:p>
    <w:p w:rsidR="008B5887" w:rsidRPr="004F48BD" w:rsidRDefault="008B5887" w:rsidP="009B198F">
      <w:pPr>
        <w:jc w:val="center"/>
        <w:rPr>
          <w:b/>
          <w:sz w:val="28"/>
          <w:szCs w:val="28"/>
        </w:rPr>
      </w:pPr>
    </w:p>
    <w:p w:rsidR="008B5887" w:rsidRPr="004F48BD" w:rsidRDefault="008B5887" w:rsidP="009B198F">
      <w:pPr>
        <w:jc w:val="center"/>
        <w:rPr>
          <w:b/>
          <w:sz w:val="28"/>
          <w:szCs w:val="28"/>
        </w:rPr>
      </w:pPr>
    </w:p>
    <w:p w:rsidR="008B5887" w:rsidRPr="004F48BD" w:rsidRDefault="008B5887" w:rsidP="009B198F">
      <w:pPr>
        <w:jc w:val="center"/>
        <w:rPr>
          <w:b/>
        </w:rPr>
      </w:pPr>
    </w:p>
    <w:p w:rsidR="008B5887" w:rsidRPr="004F48BD" w:rsidRDefault="008B5887" w:rsidP="009B198F">
      <w:pPr>
        <w:jc w:val="center"/>
        <w:rPr>
          <w:b/>
        </w:rPr>
      </w:pPr>
    </w:p>
    <w:p w:rsidR="00704EFF" w:rsidRPr="004F48BD" w:rsidRDefault="00704EFF" w:rsidP="009B198F">
      <w:pPr>
        <w:jc w:val="center"/>
        <w:rPr>
          <w:b/>
        </w:rPr>
      </w:pPr>
    </w:p>
    <w:p w:rsidR="008B5887" w:rsidRPr="004F48BD" w:rsidRDefault="008B5887" w:rsidP="009B198F">
      <w:pPr>
        <w:jc w:val="center"/>
        <w:rPr>
          <w:b/>
        </w:rPr>
      </w:pPr>
    </w:p>
    <w:p w:rsidR="009B198F" w:rsidRPr="004F48BD" w:rsidRDefault="009B198F" w:rsidP="009B198F">
      <w:pPr>
        <w:jc w:val="center"/>
        <w:rPr>
          <w:b/>
        </w:rPr>
      </w:pPr>
    </w:p>
    <w:p w:rsidR="009B198F" w:rsidRPr="004F48BD" w:rsidRDefault="009B198F" w:rsidP="009B198F">
      <w:pPr>
        <w:jc w:val="center"/>
        <w:rPr>
          <w:b/>
          <w:sz w:val="40"/>
          <w:szCs w:val="40"/>
        </w:rPr>
      </w:pPr>
    </w:p>
    <w:p w:rsidR="00704EFF" w:rsidRPr="004F48BD" w:rsidRDefault="006071AB" w:rsidP="00612210">
      <w:pPr>
        <w:jc w:val="center"/>
        <w:rPr>
          <w:b/>
          <w:sz w:val="40"/>
          <w:szCs w:val="40"/>
        </w:rPr>
      </w:pPr>
      <w:r w:rsidRPr="004F48BD">
        <w:rPr>
          <w:b/>
          <w:sz w:val="40"/>
          <w:szCs w:val="40"/>
        </w:rPr>
        <w:t>INFORME DEL DESEMPEÑO</w:t>
      </w:r>
      <w:r w:rsidR="00704EFF" w:rsidRPr="004F48BD">
        <w:rPr>
          <w:b/>
          <w:sz w:val="40"/>
          <w:szCs w:val="40"/>
        </w:rPr>
        <w:t xml:space="preserve"> </w:t>
      </w:r>
      <w:r w:rsidRPr="004F48BD">
        <w:rPr>
          <w:b/>
          <w:sz w:val="40"/>
          <w:szCs w:val="40"/>
        </w:rPr>
        <w:t>DE LA POL</w:t>
      </w:r>
      <w:r w:rsidR="00D1409F" w:rsidRPr="004F48BD">
        <w:rPr>
          <w:b/>
          <w:sz w:val="40"/>
          <w:szCs w:val="40"/>
        </w:rPr>
        <w:t>Í</w:t>
      </w:r>
      <w:r w:rsidRPr="004F48BD">
        <w:rPr>
          <w:b/>
          <w:sz w:val="40"/>
          <w:szCs w:val="40"/>
        </w:rPr>
        <w:t xml:space="preserve">TICA FISCAL </w:t>
      </w:r>
      <w:r w:rsidR="00D1409F" w:rsidRPr="004F48BD">
        <w:rPr>
          <w:b/>
          <w:sz w:val="40"/>
          <w:szCs w:val="40"/>
        </w:rPr>
        <w:t xml:space="preserve">Y </w:t>
      </w:r>
      <w:r w:rsidR="00704EFF" w:rsidRPr="004F48BD">
        <w:rPr>
          <w:b/>
          <w:sz w:val="40"/>
          <w:szCs w:val="40"/>
        </w:rPr>
        <w:t>ACTIVIDADES</w:t>
      </w:r>
    </w:p>
    <w:p w:rsidR="00704EFF" w:rsidRPr="004F48BD" w:rsidRDefault="00704EFF" w:rsidP="00612210">
      <w:pPr>
        <w:jc w:val="center"/>
        <w:rPr>
          <w:b/>
          <w:sz w:val="40"/>
          <w:szCs w:val="40"/>
        </w:rPr>
      </w:pPr>
      <w:r w:rsidRPr="004F48BD">
        <w:rPr>
          <w:b/>
          <w:sz w:val="40"/>
          <w:szCs w:val="40"/>
        </w:rPr>
        <w:t>DE</w:t>
      </w:r>
      <w:r w:rsidR="00BF4FFC" w:rsidRPr="004F48BD">
        <w:rPr>
          <w:b/>
          <w:sz w:val="40"/>
          <w:szCs w:val="40"/>
        </w:rPr>
        <w:t>L PRIMER SEMESTRE</w:t>
      </w:r>
    </w:p>
    <w:p w:rsidR="00704EFF" w:rsidRPr="004F48BD" w:rsidRDefault="00704EFF" w:rsidP="00612210">
      <w:pPr>
        <w:jc w:val="center"/>
        <w:rPr>
          <w:b/>
          <w:sz w:val="40"/>
          <w:szCs w:val="40"/>
        </w:rPr>
      </w:pPr>
      <w:r w:rsidRPr="004F48BD">
        <w:rPr>
          <w:b/>
          <w:sz w:val="40"/>
          <w:szCs w:val="40"/>
        </w:rPr>
        <w:t>201</w:t>
      </w:r>
      <w:r w:rsidR="00076496" w:rsidRPr="004F48BD">
        <w:rPr>
          <w:b/>
          <w:sz w:val="40"/>
          <w:szCs w:val="40"/>
        </w:rPr>
        <w:t>6</w:t>
      </w:r>
    </w:p>
    <w:p w:rsidR="009B198F" w:rsidRPr="004F48BD" w:rsidRDefault="009B198F" w:rsidP="009B198F">
      <w:pPr>
        <w:jc w:val="center"/>
        <w:rPr>
          <w:b/>
          <w:sz w:val="40"/>
          <w:szCs w:val="40"/>
        </w:rPr>
      </w:pPr>
    </w:p>
    <w:p w:rsidR="009B198F" w:rsidRPr="004F48BD" w:rsidRDefault="009B198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Pr="004F48BD" w:rsidRDefault="00704EFF" w:rsidP="009B198F">
      <w:pPr>
        <w:jc w:val="center"/>
        <w:rPr>
          <w:b/>
          <w:sz w:val="40"/>
          <w:szCs w:val="40"/>
        </w:rPr>
      </w:pPr>
    </w:p>
    <w:p w:rsidR="00704EFF" w:rsidRDefault="00704EFF" w:rsidP="009B198F">
      <w:pPr>
        <w:jc w:val="center"/>
        <w:rPr>
          <w:b/>
        </w:rPr>
      </w:pPr>
    </w:p>
    <w:p w:rsidR="004F48BD" w:rsidRDefault="004F48BD" w:rsidP="009B198F">
      <w:pPr>
        <w:jc w:val="center"/>
        <w:rPr>
          <w:b/>
        </w:rPr>
      </w:pPr>
    </w:p>
    <w:p w:rsidR="004F48BD" w:rsidRDefault="004F48BD" w:rsidP="009B198F">
      <w:pPr>
        <w:jc w:val="center"/>
        <w:rPr>
          <w:b/>
        </w:rPr>
      </w:pPr>
    </w:p>
    <w:p w:rsidR="004F48BD" w:rsidRPr="004F48BD" w:rsidRDefault="004F48BD" w:rsidP="009B198F">
      <w:pPr>
        <w:jc w:val="center"/>
        <w:rPr>
          <w:b/>
        </w:rPr>
      </w:pPr>
    </w:p>
    <w:p w:rsidR="009B198F" w:rsidRPr="004F48BD" w:rsidRDefault="009B198F" w:rsidP="009B198F">
      <w:pPr>
        <w:jc w:val="center"/>
        <w:rPr>
          <w:b/>
        </w:rPr>
      </w:pPr>
    </w:p>
    <w:p w:rsidR="008B5887" w:rsidRPr="00612210" w:rsidRDefault="000F1729" w:rsidP="004F48BD">
      <w:pPr>
        <w:jc w:val="center"/>
        <w:rPr>
          <w:b/>
          <w:sz w:val="28"/>
        </w:rPr>
      </w:pPr>
      <w:r w:rsidRPr="004F48BD">
        <w:rPr>
          <w:b/>
          <w:sz w:val="28"/>
        </w:rPr>
        <w:t>G</w:t>
      </w:r>
      <w:r w:rsidR="008B5887" w:rsidRPr="004F48BD">
        <w:rPr>
          <w:b/>
          <w:sz w:val="28"/>
        </w:rPr>
        <w:t>uatemala,</w:t>
      </w:r>
      <w:r w:rsidR="00680151" w:rsidRPr="004F48BD">
        <w:rPr>
          <w:b/>
          <w:sz w:val="28"/>
        </w:rPr>
        <w:t xml:space="preserve"> </w:t>
      </w:r>
      <w:r w:rsidR="00F15AEF" w:rsidRPr="004F48BD">
        <w:rPr>
          <w:b/>
          <w:sz w:val="28"/>
        </w:rPr>
        <w:t>a</w:t>
      </w:r>
      <w:r w:rsidR="00076496" w:rsidRPr="004F48BD">
        <w:rPr>
          <w:b/>
          <w:sz w:val="28"/>
        </w:rPr>
        <w:t>gosto</w:t>
      </w:r>
      <w:r w:rsidR="00704EFF" w:rsidRPr="004F48BD">
        <w:rPr>
          <w:b/>
          <w:sz w:val="28"/>
        </w:rPr>
        <w:t xml:space="preserve"> de 201</w:t>
      </w:r>
      <w:r w:rsidR="00076496" w:rsidRPr="004F48BD">
        <w:rPr>
          <w:b/>
          <w:sz w:val="28"/>
        </w:rPr>
        <w:t>6</w:t>
      </w:r>
    </w:p>
    <w:p w:rsidR="009B198F" w:rsidRPr="009D4D2F" w:rsidRDefault="009B198F" w:rsidP="009B198F">
      <w:pPr>
        <w:jc w:val="center"/>
        <w:rPr>
          <w:b/>
        </w:rPr>
      </w:pPr>
    </w:p>
    <w:p w:rsidR="009B198F" w:rsidRDefault="009B198F" w:rsidP="009B198F">
      <w:pPr>
        <w:tabs>
          <w:tab w:val="left" w:pos="0"/>
          <w:tab w:val="left" w:pos="9214"/>
        </w:tabs>
        <w:autoSpaceDE w:val="0"/>
        <w:autoSpaceDN w:val="0"/>
        <w:adjustRightInd w:val="0"/>
        <w:jc w:val="center"/>
        <w:rPr>
          <w:b/>
        </w:rPr>
      </w:pPr>
    </w:p>
    <w:p w:rsidR="00E90C70" w:rsidRDefault="00E90C70" w:rsidP="009B198F">
      <w:pPr>
        <w:tabs>
          <w:tab w:val="left" w:pos="0"/>
          <w:tab w:val="left" w:pos="9214"/>
        </w:tabs>
        <w:autoSpaceDE w:val="0"/>
        <w:autoSpaceDN w:val="0"/>
        <w:adjustRightInd w:val="0"/>
        <w:jc w:val="center"/>
        <w:rPr>
          <w:b/>
        </w:rPr>
      </w:pPr>
    </w:p>
    <w:p w:rsidR="004F48BD" w:rsidRDefault="004F48BD" w:rsidP="009B198F">
      <w:pPr>
        <w:tabs>
          <w:tab w:val="left" w:pos="0"/>
          <w:tab w:val="left" w:pos="9214"/>
        </w:tabs>
        <w:autoSpaceDE w:val="0"/>
        <w:autoSpaceDN w:val="0"/>
        <w:adjustRightInd w:val="0"/>
        <w:jc w:val="center"/>
        <w:rPr>
          <w:b/>
        </w:rPr>
      </w:pPr>
    </w:p>
    <w:p w:rsidR="00E90C70" w:rsidRPr="009D4D2F" w:rsidRDefault="00E90C70" w:rsidP="009B198F">
      <w:pPr>
        <w:tabs>
          <w:tab w:val="left" w:pos="0"/>
          <w:tab w:val="left" w:pos="9214"/>
        </w:tabs>
        <w:autoSpaceDE w:val="0"/>
        <w:autoSpaceDN w:val="0"/>
        <w:adjustRightInd w:val="0"/>
        <w:jc w:val="center"/>
        <w:rPr>
          <w:b/>
        </w:rPr>
      </w:pPr>
    </w:p>
    <w:p w:rsidR="006358A6" w:rsidRPr="009D4D2F" w:rsidRDefault="006358A6" w:rsidP="009D4D2F">
      <w:pPr>
        <w:tabs>
          <w:tab w:val="left" w:pos="0"/>
          <w:tab w:val="left" w:pos="9214"/>
        </w:tabs>
        <w:autoSpaceDE w:val="0"/>
        <w:autoSpaceDN w:val="0"/>
        <w:adjustRightInd w:val="0"/>
        <w:rPr>
          <w:b/>
        </w:rPr>
      </w:pPr>
    </w:p>
    <w:p w:rsidR="00025E2C" w:rsidRPr="005B50BA" w:rsidRDefault="009B198F" w:rsidP="009B198F">
      <w:pPr>
        <w:tabs>
          <w:tab w:val="left" w:pos="0"/>
          <w:tab w:val="left" w:pos="9214"/>
        </w:tabs>
        <w:autoSpaceDE w:val="0"/>
        <w:autoSpaceDN w:val="0"/>
        <w:adjustRightInd w:val="0"/>
        <w:ind w:firstLine="567"/>
        <w:jc w:val="center"/>
        <w:rPr>
          <w:b/>
        </w:rPr>
      </w:pPr>
      <w:r w:rsidRPr="005B50BA">
        <w:rPr>
          <w:b/>
        </w:rPr>
        <w:t>CONTENIDO</w:t>
      </w:r>
    </w:p>
    <w:sdt>
      <w:sdtPr>
        <w:rPr>
          <w:rFonts w:ascii="Times New Roman" w:eastAsia="Times New Roman" w:hAnsi="Times New Roman" w:cs="Times New Roman"/>
          <w:b w:val="0"/>
          <w:bCs w:val="0"/>
          <w:color w:val="auto"/>
          <w:sz w:val="24"/>
          <w:szCs w:val="24"/>
          <w:lang w:val="es-ES" w:eastAsia="es-ES"/>
        </w:rPr>
        <w:id w:val="504640332"/>
        <w:docPartObj>
          <w:docPartGallery w:val="Table of Contents"/>
          <w:docPartUnique/>
        </w:docPartObj>
      </w:sdtPr>
      <w:sdtEndPr/>
      <w:sdtContent>
        <w:p w:rsidR="009C2D46" w:rsidRDefault="009C2D46">
          <w:pPr>
            <w:pStyle w:val="TtuloTDC"/>
          </w:pPr>
        </w:p>
        <w:p w:rsidR="004F48BD" w:rsidRDefault="007C7DEE">
          <w:pPr>
            <w:pStyle w:val="TDC1"/>
            <w:rPr>
              <w:rFonts w:asciiTheme="minorHAnsi" w:eastAsiaTheme="minorEastAsia" w:hAnsiTheme="minorHAnsi" w:cstheme="minorBidi"/>
              <w:noProof/>
              <w:sz w:val="22"/>
              <w:szCs w:val="22"/>
              <w:lang w:val="es-GT" w:eastAsia="es-GT"/>
            </w:rPr>
          </w:pPr>
          <w:r w:rsidRPr="0019180E">
            <w:rPr>
              <w:b/>
            </w:rPr>
            <w:fldChar w:fldCharType="begin"/>
          </w:r>
          <w:r w:rsidR="009C2D46" w:rsidRPr="0019180E">
            <w:rPr>
              <w:b/>
            </w:rPr>
            <w:instrText xml:space="preserve"> TOC \o "1-3" \h \z \u </w:instrText>
          </w:r>
          <w:r w:rsidRPr="0019180E">
            <w:rPr>
              <w:b/>
            </w:rPr>
            <w:fldChar w:fldCharType="separate"/>
          </w:r>
          <w:hyperlink w:anchor="_Toc460422666" w:history="1">
            <w:r w:rsidR="004F48BD" w:rsidRPr="0067607C">
              <w:rPr>
                <w:rStyle w:val="Hipervnculo"/>
                <w:noProof/>
                <w:lang w:val="es-GT"/>
              </w:rPr>
              <w:t>I.</w:t>
            </w:r>
            <w:r w:rsidR="004F48BD">
              <w:rPr>
                <w:rFonts w:asciiTheme="minorHAnsi" w:eastAsiaTheme="minorEastAsia" w:hAnsiTheme="minorHAnsi" w:cstheme="minorBidi"/>
                <w:noProof/>
                <w:sz w:val="22"/>
                <w:szCs w:val="22"/>
                <w:lang w:val="es-GT" w:eastAsia="es-GT"/>
              </w:rPr>
              <w:tab/>
            </w:r>
            <w:r w:rsidR="004F48BD" w:rsidRPr="0067607C">
              <w:rPr>
                <w:rStyle w:val="Hipervnculo"/>
                <w:noProof/>
                <w:lang w:val="es-GT"/>
              </w:rPr>
              <w:t>La Política Fiscal en 2016</w:t>
            </w:r>
            <w:r w:rsidR="004F48BD">
              <w:rPr>
                <w:noProof/>
                <w:webHidden/>
              </w:rPr>
              <w:tab/>
            </w:r>
            <w:r w:rsidR="004F48BD">
              <w:rPr>
                <w:noProof/>
                <w:webHidden/>
              </w:rPr>
              <w:fldChar w:fldCharType="begin"/>
            </w:r>
            <w:r w:rsidR="004F48BD">
              <w:rPr>
                <w:noProof/>
                <w:webHidden/>
              </w:rPr>
              <w:instrText xml:space="preserve"> PAGEREF _Toc460422666 \h </w:instrText>
            </w:r>
            <w:r w:rsidR="004F48BD">
              <w:rPr>
                <w:noProof/>
                <w:webHidden/>
              </w:rPr>
            </w:r>
            <w:r w:rsidR="004F48BD">
              <w:rPr>
                <w:noProof/>
                <w:webHidden/>
              </w:rPr>
              <w:fldChar w:fldCharType="separate"/>
            </w:r>
            <w:r w:rsidR="008537D0">
              <w:rPr>
                <w:noProof/>
                <w:webHidden/>
              </w:rPr>
              <w:t>3</w:t>
            </w:r>
            <w:r w:rsidR="004F48BD">
              <w:rPr>
                <w:noProof/>
                <w:webHidden/>
              </w:rPr>
              <w:fldChar w:fldCharType="end"/>
            </w:r>
          </w:hyperlink>
        </w:p>
        <w:p w:rsidR="004F48BD" w:rsidRDefault="0062531F">
          <w:pPr>
            <w:pStyle w:val="TDC1"/>
            <w:rPr>
              <w:rFonts w:asciiTheme="minorHAnsi" w:eastAsiaTheme="minorEastAsia" w:hAnsiTheme="minorHAnsi" w:cstheme="minorBidi"/>
              <w:noProof/>
              <w:sz w:val="22"/>
              <w:szCs w:val="22"/>
              <w:lang w:val="es-GT" w:eastAsia="es-GT"/>
            </w:rPr>
          </w:pPr>
          <w:hyperlink w:anchor="_Toc460422667" w:history="1">
            <w:r w:rsidR="004F48BD" w:rsidRPr="0067607C">
              <w:rPr>
                <w:rStyle w:val="Hipervnculo"/>
                <w:noProof/>
                <w:lang w:val="es-MX"/>
              </w:rPr>
              <w:t>II.</w:t>
            </w:r>
            <w:r w:rsidR="004F48BD">
              <w:rPr>
                <w:rFonts w:asciiTheme="minorHAnsi" w:eastAsiaTheme="minorEastAsia" w:hAnsiTheme="minorHAnsi" w:cstheme="minorBidi"/>
                <w:noProof/>
                <w:sz w:val="22"/>
                <w:szCs w:val="22"/>
                <w:lang w:val="es-GT" w:eastAsia="es-GT"/>
              </w:rPr>
              <w:tab/>
            </w:r>
            <w:r w:rsidR="004F48BD" w:rsidRPr="0067607C">
              <w:rPr>
                <w:rStyle w:val="Hipervnculo"/>
                <w:noProof/>
                <w:lang w:val="es-MX"/>
              </w:rPr>
              <w:t>Situación Financiera de la Administración Central</w:t>
            </w:r>
            <w:r w:rsidR="004F48BD">
              <w:rPr>
                <w:noProof/>
                <w:webHidden/>
              </w:rPr>
              <w:tab/>
            </w:r>
            <w:r w:rsidR="004F48BD">
              <w:rPr>
                <w:noProof/>
                <w:webHidden/>
              </w:rPr>
              <w:fldChar w:fldCharType="begin"/>
            </w:r>
            <w:r w:rsidR="004F48BD">
              <w:rPr>
                <w:noProof/>
                <w:webHidden/>
              </w:rPr>
              <w:instrText xml:space="preserve"> PAGEREF _Toc460422667 \h </w:instrText>
            </w:r>
            <w:r w:rsidR="004F48BD">
              <w:rPr>
                <w:noProof/>
                <w:webHidden/>
              </w:rPr>
            </w:r>
            <w:r w:rsidR="004F48BD">
              <w:rPr>
                <w:noProof/>
                <w:webHidden/>
              </w:rPr>
              <w:fldChar w:fldCharType="separate"/>
            </w:r>
            <w:r w:rsidR="008537D0">
              <w:rPr>
                <w:noProof/>
                <w:webHidden/>
              </w:rPr>
              <w:t>4</w:t>
            </w:r>
            <w:r w:rsidR="004F48BD">
              <w:rPr>
                <w:noProof/>
                <w:webHidden/>
              </w:rPr>
              <w:fldChar w:fldCharType="end"/>
            </w:r>
          </w:hyperlink>
        </w:p>
        <w:p w:rsidR="004F48BD" w:rsidRDefault="0062531F">
          <w:pPr>
            <w:pStyle w:val="TDC2"/>
            <w:rPr>
              <w:rFonts w:asciiTheme="minorHAnsi" w:eastAsiaTheme="minorEastAsia" w:hAnsiTheme="minorHAnsi" w:cstheme="minorBidi"/>
              <w:noProof/>
              <w:sz w:val="22"/>
              <w:szCs w:val="22"/>
              <w:lang w:val="es-GT" w:eastAsia="es-GT"/>
            </w:rPr>
          </w:pPr>
          <w:hyperlink w:anchor="_Toc460422668" w:history="1">
            <w:r w:rsidR="004F48BD" w:rsidRPr="0067607C">
              <w:rPr>
                <w:rStyle w:val="Hipervnculo"/>
                <w:noProof/>
              </w:rPr>
              <w:t>A.</w:t>
            </w:r>
            <w:r w:rsidR="004F48BD">
              <w:rPr>
                <w:rFonts w:asciiTheme="minorHAnsi" w:eastAsiaTheme="minorEastAsia" w:hAnsiTheme="minorHAnsi" w:cstheme="minorBidi"/>
                <w:noProof/>
                <w:sz w:val="22"/>
                <w:szCs w:val="22"/>
                <w:lang w:val="es-GT" w:eastAsia="es-GT"/>
              </w:rPr>
              <w:tab/>
            </w:r>
            <w:r w:rsidR="004F48BD" w:rsidRPr="0067607C">
              <w:rPr>
                <w:rStyle w:val="Hipervnculo"/>
                <w:noProof/>
              </w:rPr>
              <w:t>Ingresos</w:t>
            </w:r>
            <w:r w:rsidR="004F48BD">
              <w:rPr>
                <w:noProof/>
                <w:webHidden/>
              </w:rPr>
              <w:tab/>
            </w:r>
            <w:r w:rsidR="004F48BD">
              <w:rPr>
                <w:noProof/>
                <w:webHidden/>
              </w:rPr>
              <w:fldChar w:fldCharType="begin"/>
            </w:r>
            <w:r w:rsidR="004F48BD">
              <w:rPr>
                <w:noProof/>
                <w:webHidden/>
              </w:rPr>
              <w:instrText xml:space="preserve"> PAGEREF _Toc460422668 \h </w:instrText>
            </w:r>
            <w:r w:rsidR="004F48BD">
              <w:rPr>
                <w:noProof/>
                <w:webHidden/>
              </w:rPr>
            </w:r>
            <w:r w:rsidR="004F48BD">
              <w:rPr>
                <w:noProof/>
                <w:webHidden/>
              </w:rPr>
              <w:fldChar w:fldCharType="separate"/>
            </w:r>
            <w:r w:rsidR="008537D0">
              <w:rPr>
                <w:noProof/>
                <w:webHidden/>
              </w:rPr>
              <w:t>4</w:t>
            </w:r>
            <w:r w:rsidR="004F48BD">
              <w:rPr>
                <w:noProof/>
                <w:webHidden/>
              </w:rPr>
              <w:fldChar w:fldCharType="end"/>
            </w:r>
          </w:hyperlink>
        </w:p>
        <w:p w:rsidR="004F48BD" w:rsidRDefault="0062531F">
          <w:pPr>
            <w:pStyle w:val="TDC2"/>
            <w:rPr>
              <w:rFonts w:asciiTheme="minorHAnsi" w:eastAsiaTheme="minorEastAsia" w:hAnsiTheme="minorHAnsi" w:cstheme="minorBidi"/>
              <w:noProof/>
              <w:sz w:val="22"/>
              <w:szCs w:val="22"/>
              <w:lang w:val="es-GT" w:eastAsia="es-GT"/>
            </w:rPr>
          </w:pPr>
          <w:hyperlink w:anchor="_Toc460422669" w:history="1">
            <w:r w:rsidR="004F48BD" w:rsidRPr="0067607C">
              <w:rPr>
                <w:rStyle w:val="Hipervnculo"/>
                <w:b/>
                <w:bCs/>
                <w:noProof/>
              </w:rPr>
              <w:t>B.</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rPr>
              <w:t>Ejecución del Gasto Público</w:t>
            </w:r>
            <w:r w:rsidR="004F48BD">
              <w:rPr>
                <w:noProof/>
                <w:webHidden/>
              </w:rPr>
              <w:tab/>
            </w:r>
            <w:r w:rsidR="004F48BD">
              <w:rPr>
                <w:noProof/>
                <w:webHidden/>
              </w:rPr>
              <w:fldChar w:fldCharType="begin"/>
            </w:r>
            <w:r w:rsidR="004F48BD">
              <w:rPr>
                <w:noProof/>
                <w:webHidden/>
              </w:rPr>
              <w:instrText xml:space="preserve"> PAGEREF _Toc460422669 \h </w:instrText>
            </w:r>
            <w:r w:rsidR="004F48BD">
              <w:rPr>
                <w:noProof/>
                <w:webHidden/>
              </w:rPr>
            </w:r>
            <w:r w:rsidR="004F48BD">
              <w:rPr>
                <w:noProof/>
                <w:webHidden/>
              </w:rPr>
              <w:fldChar w:fldCharType="separate"/>
            </w:r>
            <w:r w:rsidR="008537D0">
              <w:rPr>
                <w:noProof/>
                <w:webHidden/>
              </w:rPr>
              <w:t>8</w:t>
            </w:r>
            <w:r w:rsidR="004F48BD">
              <w:rPr>
                <w:noProof/>
                <w:webHidden/>
              </w:rPr>
              <w:fldChar w:fldCharType="end"/>
            </w:r>
          </w:hyperlink>
        </w:p>
        <w:p w:rsidR="004F48BD" w:rsidRDefault="0062531F">
          <w:pPr>
            <w:pStyle w:val="TDC3"/>
            <w:rPr>
              <w:rFonts w:asciiTheme="minorHAnsi" w:eastAsiaTheme="minorEastAsia" w:hAnsiTheme="minorHAnsi" w:cstheme="minorBidi"/>
              <w:noProof/>
              <w:sz w:val="22"/>
              <w:szCs w:val="22"/>
              <w:lang w:val="es-GT" w:eastAsia="es-GT"/>
            </w:rPr>
          </w:pPr>
          <w:hyperlink w:anchor="_Toc460422670" w:history="1">
            <w:r w:rsidR="004F48BD" w:rsidRPr="0067607C">
              <w:rPr>
                <w:rStyle w:val="Hipervnculo"/>
                <w:b/>
                <w:bCs/>
                <w:noProof/>
                <w:lang w:val="es-MX"/>
              </w:rPr>
              <w:t>1.</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lang w:val="es-MX"/>
              </w:rPr>
              <w:t>Destino del gasto por cuenta económica</w:t>
            </w:r>
            <w:r w:rsidR="004F48BD">
              <w:rPr>
                <w:noProof/>
                <w:webHidden/>
              </w:rPr>
              <w:tab/>
            </w:r>
            <w:r w:rsidR="004F48BD">
              <w:rPr>
                <w:noProof/>
                <w:webHidden/>
              </w:rPr>
              <w:fldChar w:fldCharType="begin"/>
            </w:r>
            <w:r w:rsidR="004F48BD">
              <w:rPr>
                <w:noProof/>
                <w:webHidden/>
              </w:rPr>
              <w:instrText xml:space="preserve"> PAGEREF _Toc460422670 \h </w:instrText>
            </w:r>
            <w:r w:rsidR="004F48BD">
              <w:rPr>
                <w:noProof/>
                <w:webHidden/>
              </w:rPr>
            </w:r>
            <w:r w:rsidR="004F48BD">
              <w:rPr>
                <w:noProof/>
                <w:webHidden/>
              </w:rPr>
              <w:fldChar w:fldCharType="separate"/>
            </w:r>
            <w:r w:rsidR="008537D0">
              <w:rPr>
                <w:noProof/>
                <w:webHidden/>
              </w:rPr>
              <w:t>8</w:t>
            </w:r>
            <w:r w:rsidR="004F48BD">
              <w:rPr>
                <w:noProof/>
                <w:webHidden/>
              </w:rPr>
              <w:fldChar w:fldCharType="end"/>
            </w:r>
          </w:hyperlink>
        </w:p>
        <w:p w:rsidR="004F48BD" w:rsidRDefault="0062531F">
          <w:pPr>
            <w:pStyle w:val="TDC3"/>
            <w:rPr>
              <w:rFonts w:asciiTheme="minorHAnsi" w:eastAsiaTheme="minorEastAsia" w:hAnsiTheme="minorHAnsi" w:cstheme="minorBidi"/>
              <w:noProof/>
              <w:sz w:val="22"/>
              <w:szCs w:val="22"/>
              <w:lang w:val="es-GT" w:eastAsia="es-GT"/>
            </w:rPr>
          </w:pPr>
          <w:hyperlink w:anchor="_Toc460422671" w:history="1">
            <w:r w:rsidR="004F48BD" w:rsidRPr="0067607C">
              <w:rPr>
                <w:rStyle w:val="Hipervnculo"/>
                <w:b/>
                <w:bCs/>
                <w:noProof/>
                <w:lang w:val="es-MX"/>
              </w:rPr>
              <w:t>2.</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lang w:val="es-MX"/>
              </w:rPr>
              <w:t>Ejecución presupuestaria institucional</w:t>
            </w:r>
            <w:r w:rsidR="004F48BD">
              <w:rPr>
                <w:noProof/>
                <w:webHidden/>
              </w:rPr>
              <w:tab/>
            </w:r>
            <w:r w:rsidR="004F48BD">
              <w:rPr>
                <w:noProof/>
                <w:webHidden/>
              </w:rPr>
              <w:fldChar w:fldCharType="begin"/>
            </w:r>
            <w:r w:rsidR="004F48BD">
              <w:rPr>
                <w:noProof/>
                <w:webHidden/>
              </w:rPr>
              <w:instrText xml:space="preserve"> PAGEREF _Toc460422671 \h </w:instrText>
            </w:r>
            <w:r w:rsidR="004F48BD">
              <w:rPr>
                <w:noProof/>
                <w:webHidden/>
              </w:rPr>
            </w:r>
            <w:r w:rsidR="004F48BD">
              <w:rPr>
                <w:noProof/>
                <w:webHidden/>
              </w:rPr>
              <w:fldChar w:fldCharType="separate"/>
            </w:r>
            <w:r w:rsidR="008537D0">
              <w:rPr>
                <w:noProof/>
                <w:webHidden/>
              </w:rPr>
              <w:t>10</w:t>
            </w:r>
            <w:r w:rsidR="004F48BD">
              <w:rPr>
                <w:noProof/>
                <w:webHidden/>
              </w:rPr>
              <w:fldChar w:fldCharType="end"/>
            </w:r>
          </w:hyperlink>
        </w:p>
        <w:p w:rsidR="004F48BD" w:rsidRDefault="0062531F">
          <w:pPr>
            <w:pStyle w:val="TDC3"/>
            <w:rPr>
              <w:rFonts w:asciiTheme="minorHAnsi" w:eastAsiaTheme="minorEastAsia" w:hAnsiTheme="minorHAnsi" w:cstheme="minorBidi"/>
              <w:noProof/>
              <w:sz w:val="22"/>
              <w:szCs w:val="22"/>
              <w:lang w:val="es-GT" w:eastAsia="es-GT"/>
            </w:rPr>
          </w:pPr>
          <w:hyperlink w:anchor="_Toc460422672" w:history="1">
            <w:r w:rsidR="004F48BD" w:rsidRPr="0067607C">
              <w:rPr>
                <w:rStyle w:val="Hipervnculo"/>
                <w:b/>
                <w:bCs/>
                <w:noProof/>
                <w:lang w:val="es-MX"/>
              </w:rPr>
              <w:t>3.</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lang w:val="es-MX"/>
              </w:rPr>
              <w:t>Gasto financiado con fuente 11: “Ingresos Corrientes”</w:t>
            </w:r>
            <w:r w:rsidR="004F48BD">
              <w:rPr>
                <w:noProof/>
                <w:webHidden/>
              </w:rPr>
              <w:tab/>
            </w:r>
            <w:r w:rsidR="004F48BD">
              <w:rPr>
                <w:noProof/>
                <w:webHidden/>
              </w:rPr>
              <w:fldChar w:fldCharType="begin"/>
            </w:r>
            <w:r w:rsidR="004F48BD">
              <w:rPr>
                <w:noProof/>
                <w:webHidden/>
              </w:rPr>
              <w:instrText xml:space="preserve"> PAGEREF _Toc460422672 \h </w:instrText>
            </w:r>
            <w:r w:rsidR="004F48BD">
              <w:rPr>
                <w:noProof/>
                <w:webHidden/>
              </w:rPr>
            </w:r>
            <w:r w:rsidR="004F48BD">
              <w:rPr>
                <w:noProof/>
                <w:webHidden/>
              </w:rPr>
              <w:fldChar w:fldCharType="separate"/>
            </w:r>
            <w:r w:rsidR="008537D0">
              <w:rPr>
                <w:noProof/>
                <w:webHidden/>
              </w:rPr>
              <w:t>11</w:t>
            </w:r>
            <w:r w:rsidR="004F48BD">
              <w:rPr>
                <w:noProof/>
                <w:webHidden/>
              </w:rPr>
              <w:fldChar w:fldCharType="end"/>
            </w:r>
          </w:hyperlink>
        </w:p>
        <w:p w:rsidR="004F48BD" w:rsidRDefault="0062531F">
          <w:pPr>
            <w:pStyle w:val="TDC3"/>
            <w:rPr>
              <w:rFonts w:asciiTheme="minorHAnsi" w:eastAsiaTheme="minorEastAsia" w:hAnsiTheme="minorHAnsi" w:cstheme="minorBidi"/>
              <w:noProof/>
              <w:sz w:val="22"/>
              <w:szCs w:val="22"/>
              <w:lang w:val="es-GT" w:eastAsia="es-GT"/>
            </w:rPr>
          </w:pPr>
          <w:hyperlink w:anchor="_Toc460422673" w:history="1">
            <w:r w:rsidR="004F48BD" w:rsidRPr="0067607C">
              <w:rPr>
                <w:rStyle w:val="Hipervnculo"/>
                <w:b/>
                <w:bCs/>
                <w:noProof/>
                <w:lang w:val="es-MX"/>
              </w:rPr>
              <w:t>4.</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lang w:val="es-MX"/>
              </w:rPr>
              <w:t>Gasto Social y Acuerdos de Paz, acumulado al 30 de junio de cada año</w:t>
            </w:r>
            <w:r w:rsidR="004F48BD">
              <w:rPr>
                <w:noProof/>
                <w:webHidden/>
              </w:rPr>
              <w:tab/>
            </w:r>
            <w:r w:rsidR="004F48BD">
              <w:rPr>
                <w:noProof/>
                <w:webHidden/>
              </w:rPr>
              <w:fldChar w:fldCharType="begin"/>
            </w:r>
            <w:r w:rsidR="004F48BD">
              <w:rPr>
                <w:noProof/>
                <w:webHidden/>
              </w:rPr>
              <w:instrText xml:space="preserve"> PAGEREF _Toc460422673 \h </w:instrText>
            </w:r>
            <w:r w:rsidR="004F48BD">
              <w:rPr>
                <w:noProof/>
                <w:webHidden/>
              </w:rPr>
            </w:r>
            <w:r w:rsidR="004F48BD">
              <w:rPr>
                <w:noProof/>
                <w:webHidden/>
              </w:rPr>
              <w:fldChar w:fldCharType="separate"/>
            </w:r>
            <w:r w:rsidR="008537D0">
              <w:rPr>
                <w:noProof/>
                <w:webHidden/>
              </w:rPr>
              <w:t>13</w:t>
            </w:r>
            <w:r w:rsidR="004F48BD">
              <w:rPr>
                <w:noProof/>
                <w:webHidden/>
              </w:rPr>
              <w:fldChar w:fldCharType="end"/>
            </w:r>
          </w:hyperlink>
        </w:p>
        <w:p w:rsidR="004F48BD" w:rsidRDefault="0062531F">
          <w:pPr>
            <w:pStyle w:val="TDC3"/>
            <w:rPr>
              <w:rFonts w:asciiTheme="minorHAnsi" w:eastAsiaTheme="minorEastAsia" w:hAnsiTheme="minorHAnsi" w:cstheme="minorBidi"/>
              <w:noProof/>
              <w:sz w:val="22"/>
              <w:szCs w:val="22"/>
              <w:lang w:val="es-GT" w:eastAsia="es-GT"/>
            </w:rPr>
          </w:pPr>
          <w:hyperlink w:anchor="_Toc460422674" w:history="1">
            <w:r w:rsidR="004F48BD" w:rsidRPr="0067607C">
              <w:rPr>
                <w:rStyle w:val="Hipervnculo"/>
                <w:b/>
                <w:bCs/>
                <w:noProof/>
                <w:lang w:val="es-MX"/>
              </w:rPr>
              <w:t>5.</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lang w:val="es-MX"/>
              </w:rPr>
              <w:t>Gasto Ejecutado a través de Fideicomisos</w:t>
            </w:r>
            <w:r w:rsidR="004F48BD">
              <w:rPr>
                <w:noProof/>
                <w:webHidden/>
              </w:rPr>
              <w:tab/>
            </w:r>
            <w:r w:rsidR="004F48BD">
              <w:rPr>
                <w:noProof/>
                <w:webHidden/>
              </w:rPr>
              <w:fldChar w:fldCharType="begin"/>
            </w:r>
            <w:r w:rsidR="004F48BD">
              <w:rPr>
                <w:noProof/>
                <w:webHidden/>
              </w:rPr>
              <w:instrText xml:space="preserve"> PAGEREF _Toc460422674 \h </w:instrText>
            </w:r>
            <w:r w:rsidR="004F48BD">
              <w:rPr>
                <w:noProof/>
                <w:webHidden/>
              </w:rPr>
            </w:r>
            <w:r w:rsidR="004F48BD">
              <w:rPr>
                <w:noProof/>
                <w:webHidden/>
              </w:rPr>
              <w:fldChar w:fldCharType="separate"/>
            </w:r>
            <w:r w:rsidR="008537D0">
              <w:rPr>
                <w:noProof/>
                <w:webHidden/>
              </w:rPr>
              <w:t>14</w:t>
            </w:r>
            <w:r w:rsidR="004F48BD">
              <w:rPr>
                <w:noProof/>
                <w:webHidden/>
              </w:rPr>
              <w:fldChar w:fldCharType="end"/>
            </w:r>
          </w:hyperlink>
        </w:p>
        <w:p w:rsidR="004F48BD" w:rsidRDefault="0062531F">
          <w:pPr>
            <w:pStyle w:val="TDC3"/>
            <w:rPr>
              <w:rFonts w:asciiTheme="minorHAnsi" w:eastAsiaTheme="minorEastAsia" w:hAnsiTheme="minorHAnsi" w:cstheme="minorBidi"/>
              <w:noProof/>
              <w:sz w:val="22"/>
              <w:szCs w:val="22"/>
              <w:lang w:val="es-GT" w:eastAsia="es-GT"/>
            </w:rPr>
          </w:pPr>
          <w:hyperlink w:anchor="_Toc460422675" w:history="1">
            <w:r w:rsidR="004F48BD" w:rsidRPr="0067607C">
              <w:rPr>
                <w:rStyle w:val="Hipervnculo"/>
                <w:b/>
                <w:bCs/>
                <w:noProof/>
                <w:lang w:val="es-MX"/>
              </w:rPr>
              <w:t>6.</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lang w:val="es-MX"/>
              </w:rPr>
              <w:t>Gasto Ejecutado a través de Organizaciones No Gubernamentales</w:t>
            </w:r>
            <w:r w:rsidR="004F48BD">
              <w:rPr>
                <w:noProof/>
                <w:webHidden/>
              </w:rPr>
              <w:tab/>
            </w:r>
            <w:r w:rsidR="004F48BD">
              <w:rPr>
                <w:noProof/>
                <w:webHidden/>
              </w:rPr>
              <w:fldChar w:fldCharType="begin"/>
            </w:r>
            <w:r w:rsidR="004F48BD">
              <w:rPr>
                <w:noProof/>
                <w:webHidden/>
              </w:rPr>
              <w:instrText xml:space="preserve"> PAGEREF _Toc460422675 \h </w:instrText>
            </w:r>
            <w:r w:rsidR="004F48BD">
              <w:rPr>
                <w:noProof/>
                <w:webHidden/>
              </w:rPr>
            </w:r>
            <w:r w:rsidR="004F48BD">
              <w:rPr>
                <w:noProof/>
                <w:webHidden/>
              </w:rPr>
              <w:fldChar w:fldCharType="separate"/>
            </w:r>
            <w:r w:rsidR="008537D0">
              <w:rPr>
                <w:noProof/>
                <w:webHidden/>
              </w:rPr>
              <w:t>15</w:t>
            </w:r>
            <w:r w:rsidR="004F48BD">
              <w:rPr>
                <w:noProof/>
                <w:webHidden/>
              </w:rPr>
              <w:fldChar w:fldCharType="end"/>
            </w:r>
          </w:hyperlink>
        </w:p>
        <w:p w:rsidR="004F48BD" w:rsidRDefault="0062531F">
          <w:pPr>
            <w:pStyle w:val="TDC3"/>
            <w:rPr>
              <w:rFonts w:asciiTheme="minorHAnsi" w:eastAsiaTheme="minorEastAsia" w:hAnsiTheme="minorHAnsi" w:cstheme="minorBidi"/>
              <w:noProof/>
              <w:sz w:val="22"/>
              <w:szCs w:val="22"/>
              <w:lang w:val="es-GT" w:eastAsia="es-GT"/>
            </w:rPr>
          </w:pPr>
          <w:hyperlink w:anchor="_Toc460422676" w:history="1">
            <w:r w:rsidR="004F48BD" w:rsidRPr="0067607C">
              <w:rPr>
                <w:rStyle w:val="Hipervnculo"/>
                <w:b/>
                <w:bCs/>
                <w:noProof/>
                <w:lang w:val="es-MX"/>
              </w:rPr>
              <w:t>7.</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lang w:val="es-MX"/>
              </w:rPr>
              <w:t>Déficit Fiscal, al 30 de junio de cada año</w:t>
            </w:r>
            <w:r w:rsidR="004F48BD">
              <w:rPr>
                <w:noProof/>
                <w:webHidden/>
              </w:rPr>
              <w:tab/>
            </w:r>
            <w:r w:rsidR="004F48BD">
              <w:rPr>
                <w:noProof/>
                <w:webHidden/>
              </w:rPr>
              <w:fldChar w:fldCharType="begin"/>
            </w:r>
            <w:r w:rsidR="004F48BD">
              <w:rPr>
                <w:noProof/>
                <w:webHidden/>
              </w:rPr>
              <w:instrText xml:space="preserve"> PAGEREF _Toc460422676 \h </w:instrText>
            </w:r>
            <w:r w:rsidR="004F48BD">
              <w:rPr>
                <w:noProof/>
                <w:webHidden/>
              </w:rPr>
            </w:r>
            <w:r w:rsidR="004F48BD">
              <w:rPr>
                <w:noProof/>
                <w:webHidden/>
              </w:rPr>
              <w:fldChar w:fldCharType="separate"/>
            </w:r>
            <w:r w:rsidR="008537D0">
              <w:rPr>
                <w:noProof/>
                <w:webHidden/>
              </w:rPr>
              <w:t>16</w:t>
            </w:r>
            <w:r w:rsidR="004F48BD">
              <w:rPr>
                <w:noProof/>
                <w:webHidden/>
              </w:rPr>
              <w:fldChar w:fldCharType="end"/>
            </w:r>
          </w:hyperlink>
        </w:p>
        <w:p w:rsidR="004F48BD" w:rsidRDefault="0062531F">
          <w:pPr>
            <w:pStyle w:val="TDC2"/>
            <w:rPr>
              <w:rFonts w:asciiTheme="minorHAnsi" w:eastAsiaTheme="minorEastAsia" w:hAnsiTheme="minorHAnsi" w:cstheme="minorBidi"/>
              <w:noProof/>
              <w:sz w:val="22"/>
              <w:szCs w:val="22"/>
              <w:lang w:val="es-GT" w:eastAsia="es-GT"/>
            </w:rPr>
          </w:pPr>
          <w:hyperlink w:anchor="_Toc460422677" w:history="1">
            <w:r w:rsidR="004F48BD" w:rsidRPr="0067607C">
              <w:rPr>
                <w:rStyle w:val="Hipervnculo"/>
                <w:noProof/>
              </w:rPr>
              <w:t>C.</w:t>
            </w:r>
            <w:r w:rsidR="004F48BD">
              <w:rPr>
                <w:rFonts w:asciiTheme="minorHAnsi" w:eastAsiaTheme="minorEastAsia" w:hAnsiTheme="minorHAnsi" w:cstheme="minorBidi"/>
                <w:noProof/>
                <w:sz w:val="22"/>
                <w:szCs w:val="22"/>
                <w:lang w:val="es-GT" w:eastAsia="es-GT"/>
              </w:rPr>
              <w:tab/>
            </w:r>
            <w:r w:rsidR="004F48BD" w:rsidRPr="0067607C">
              <w:rPr>
                <w:rStyle w:val="Hipervnculo"/>
                <w:noProof/>
              </w:rPr>
              <w:t>Crédito Público</w:t>
            </w:r>
            <w:r w:rsidR="004F48BD">
              <w:rPr>
                <w:noProof/>
                <w:webHidden/>
              </w:rPr>
              <w:tab/>
            </w:r>
            <w:r w:rsidR="004F48BD">
              <w:rPr>
                <w:noProof/>
                <w:webHidden/>
              </w:rPr>
              <w:fldChar w:fldCharType="begin"/>
            </w:r>
            <w:r w:rsidR="004F48BD">
              <w:rPr>
                <w:noProof/>
                <w:webHidden/>
              </w:rPr>
              <w:instrText xml:space="preserve"> PAGEREF _Toc460422677 \h </w:instrText>
            </w:r>
            <w:r w:rsidR="004F48BD">
              <w:rPr>
                <w:noProof/>
                <w:webHidden/>
              </w:rPr>
            </w:r>
            <w:r w:rsidR="004F48BD">
              <w:rPr>
                <w:noProof/>
                <w:webHidden/>
              </w:rPr>
              <w:fldChar w:fldCharType="separate"/>
            </w:r>
            <w:r w:rsidR="008537D0">
              <w:rPr>
                <w:noProof/>
                <w:webHidden/>
              </w:rPr>
              <w:t>19</w:t>
            </w:r>
            <w:r w:rsidR="004F48BD">
              <w:rPr>
                <w:noProof/>
                <w:webHidden/>
              </w:rPr>
              <w:fldChar w:fldCharType="end"/>
            </w:r>
          </w:hyperlink>
        </w:p>
        <w:p w:rsidR="004F48BD" w:rsidRDefault="0062531F">
          <w:pPr>
            <w:pStyle w:val="TDC3"/>
            <w:rPr>
              <w:rFonts w:asciiTheme="minorHAnsi" w:eastAsiaTheme="minorEastAsia" w:hAnsiTheme="minorHAnsi" w:cstheme="minorBidi"/>
              <w:noProof/>
              <w:sz w:val="22"/>
              <w:szCs w:val="22"/>
              <w:lang w:val="es-GT" w:eastAsia="es-GT"/>
            </w:rPr>
          </w:pPr>
          <w:hyperlink w:anchor="_Toc460422678" w:history="1">
            <w:r w:rsidR="004F48BD" w:rsidRPr="0067607C">
              <w:rPr>
                <w:rStyle w:val="Hipervnculo"/>
                <w:b/>
                <w:bCs/>
                <w:noProof/>
              </w:rPr>
              <w:t>1.</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rPr>
              <w:t>Indicadores de la deuda pública</w:t>
            </w:r>
            <w:r w:rsidR="004F48BD">
              <w:rPr>
                <w:noProof/>
                <w:webHidden/>
              </w:rPr>
              <w:tab/>
            </w:r>
            <w:r w:rsidR="004F48BD">
              <w:rPr>
                <w:noProof/>
                <w:webHidden/>
              </w:rPr>
              <w:fldChar w:fldCharType="begin"/>
            </w:r>
            <w:r w:rsidR="004F48BD">
              <w:rPr>
                <w:noProof/>
                <w:webHidden/>
              </w:rPr>
              <w:instrText xml:space="preserve"> PAGEREF _Toc460422678 \h </w:instrText>
            </w:r>
            <w:r w:rsidR="004F48BD">
              <w:rPr>
                <w:noProof/>
                <w:webHidden/>
              </w:rPr>
            </w:r>
            <w:r w:rsidR="004F48BD">
              <w:rPr>
                <w:noProof/>
                <w:webHidden/>
              </w:rPr>
              <w:fldChar w:fldCharType="separate"/>
            </w:r>
            <w:r w:rsidR="008537D0">
              <w:rPr>
                <w:noProof/>
                <w:webHidden/>
              </w:rPr>
              <w:t>19</w:t>
            </w:r>
            <w:r w:rsidR="004F48BD">
              <w:rPr>
                <w:noProof/>
                <w:webHidden/>
              </w:rPr>
              <w:fldChar w:fldCharType="end"/>
            </w:r>
          </w:hyperlink>
        </w:p>
        <w:p w:rsidR="004F48BD" w:rsidRDefault="0062531F">
          <w:pPr>
            <w:pStyle w:val="TDC3"/>
            <w:rPr>
              <w:rFonts w:asciiTheme="minorHAnsi" w:eastAsiaTheme="minorEastAsia" w:hAnsiTheme="minorHAnsi" w:cstheme="minorBidi"/>
              <w:noProof/>
              <w:sz w:val="22"/>
              <w:szCs w:val="22"/>
              <w:lang w:val="es-GT" w:eastAsia="es-GT"/>
            </w:rPr>
          </w:pPr>
          <w:hyperlink w:anchor="_Toc460422679" w:history="1">
            <w:r w:rsidR="004F48BD" w:rsidRPr="0067607C">
              <w:rPr>
                <w:rStyle w:val="Hipervnculo"/>
                <w:b/>
                <w:bCs/>
                <w:noProof/>
              </w:rPr>
              <w:t>2.</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rPr>
              <w:t>Deuda pública vigente y su composición</w:t>
            </w:r>
            <w:r w:rsidR="004F48BD">
              <w:rPr>
                <w:noProof/>
                <w:webHidden/>
              </w:rPr>
              <w:tab/>
            </w:r>
            <w:r w:rsidR="004F48BD">
              <w:rPr>
                <w:noProof/>
                <w:webHidden/>
              </w:rPr>
              <w:fldChar w:fldCharType="begin"/>
            </w:r>
            <w:r w:rsidR="004F48BD">
              <w:rPr>
                <w:noProof/>
                <w:webHidden/>
              </w:rPr>
              <w:instrText xml:space="preserve"> PAGEREF _Toc460422679 \h </w:instrText>
            </w:r>
            <w:r w:rsidR="004F48BD">
              <w:rPr>
                <w:noProof/>
                <w:webHidden/>
              </w:rPr>
            </w:r>
            <w:r w:rsidR="004F48BD">
              <w:rPr>
                <w:noProof/>
                <w:webHidden/>
              </w:rPr>
              <w:fldChar w:fldCharType="separate"/>
            </w:r>
            <w:r w:rsidR="008537D0">
              <w:rPr>
                <w:noProof/>
                <w:webHidden/>
              </w:rPr>
              <w:t>19</w:t>
            </w:r>
            <w:r w:rsidR="004F48BD">
              <w:rPr>
                <w:noProof/>
                <w:webHidden/>
              </w:rPr>
              <w:fldChar w:fldCharType="end"/>
            </w:r>
          </w:hyperlink>
        </w:p>
        <w:p w:rsidR="004F48BD" w:rsidRDefault="0062531F">
          <w:pPr>
            <w:pStyle w:val="TDC3"/>
            <w:rPr>
              <w:rFonts w:asciiTheme="minorHAnsi" w:eastAsiaTheme="minorEastAsia" w:hAnsiTheme="minorHAnsi" w:cstheme="minorBidi"/>
              <w:noProof/>
              <w:sz w:val="22"/>
              <w:szCs w:val="22"/>
              <w:lang w:val="es-GT" w:eastAsia="es-GT"/>
            </w:rPr>
          </w:pPr>
          <w:hyperlink w:anchor="_Toc460422680" w:history="1">
            <w:r w:rsidR="004F48BD" w:rsidRPr="0067607C">
              <w:rPr>
                <w:rStyle w:val="Hipervnculo"/>
                <w:b/>
                <w:bCs/>
                <w:noProof/>
              </w:rPr>
              <w:t>3.</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rPr>
              <w:t>Colocación de Bonos del Tesoro</w:t>
            </w:r>
            <w:r w:rsidR="004F48BD">
              <w:rPr>
                <w:noProof/>
                <w:webHidden/>
              </w:rPr>
              <w:tab/>
            </w:r>
            <w:r w:rsidR="004F48BD">
              <w:rPr>
                <w:noProof/>
                <w:webHidden/>
              </w:rPr>
              <w:fldChar w:fldCharType="begin"/>
            </w:r>
            <w:r w:rsidR="004F48BD">
              <w:rPr>
                <w:noProof/>
                <w:webHidden/>
              </w:rPr>
              <w:instrText xml:space="preserve"> PAGEREF _Toc460422680 \h </w:instrText>
            </w:r>
            <w:r w:rsidR="004F48BD">
              <w:rPr>
                <w:noProof/>
                <w:webHidden/>
              </w:rPr>
            </w:r>
            <w:r w:rsidR="004F48BD">
              <w:rPr>
                <w:noProof/>
                <w:webHidden/>
              </w:rPr>
              <w:fldChar w:fldCharType="separate"/>
            </w:r>
            <w:r w:rsidR="008537D0">
              <w:rPr>
                <w:noProof/>
                <w:webHidden/>
              </w:rPr>
              <w:t>20</w:t>
            </w:r>
            <w:r w:rsidR="004F48BD">
              <w:rPr>
                <w:noProof/>
                <w:webHidden/>
              </w:rPr>
              <w:fldChar w:fldCharType="end"/>
            </w:r>
          </w:hyperlink>
        </w:p>
        <w:p w:rsidR="004F48BD" w:rsidRDefault="0062531F">
          <w:pPr>
            <w:pStyle w:val="TDC3"/>
            <w:rPr>
              <w:rFonts w:asciiTheme="minorHAnsi" w:eastAsiaTheme="minorEastAsia" w:hAnsiTheme="minorHAnsi" w:cstheme="minorBidi"/>
              <w:noProof/>
              <w:sz w:val="22"/>
              <w:szCs w:val="22"/>
              <w:lang w:val="es-GT" w:eastAsia="es-GT"/>
            </w:rPr>
          </w:pPr>
          <w:hyperlink w:anchor="_Toc460422681" w:history="1">
            <w:r w:rsidR="004F48BD" w:rsidRPr="0067607C">
              <w:rPr>
                <w:rStyle w:val="Hipervnculo"/>
                <w:b/>
                <w:bCs/>
                <w:noProof/>
              </w:rPr>
              <w:t>4.</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rPr>
              <w:t>Desembolsos de préstamos externos</w:t>
            </w:r>
            <w:r w:rsidR="004F48BD">
              <w:rPr>
                <w:noProof/>
                <w:webHidden/>
              </w:rPr>
              <w:tab/>
            </w:r>
            <w:r w:rsidR="004F48BD">
              <w:rPr>
                <w:noProof/>
                <w:webHidden/>
              </w:rPr>
              <w:fldChar w:fldCharType="begin"/>
            </w:r>
            <w:r w:rsidR="004F48BD">
              <w:rPr>
                <w:noProof/>
                <w:webHidden/>
              </w:rPr>
              <w:instrText xml:space="preserve"> PAGEREF _Toc460422681 \h </w:instrText>
            </w:r>
            <w:r w:rsidR="004F48BD">
              <w:rPr>
                <w:noProof/>
                <w:webHidden/>
              </w:rPr>
            </w:r>
            <w:r w:rsidR="004F48BD">
              <w:rPr>
                <w:noProof/>
                <w:webHidden/>
              </w:rPr>
              <w:fldChar w:fldCharType="separate"/>
            </w:r>
            <w:r w:rsidR="008537D0">
              <w:rPr>
                <w:noProof/>
                <w:webHidden/>
              </w:rPr>
              <w:t>22</w:t>
            </w:r>
            <w:r w:rsidR="004F48BD">
              <w:rPr>
                <w:noProof/>
                <w:webHidden/>
              </w:rPr>
              <w:fldChar w:fldCharType="end"/>
            </w:r>
          </w:hyperlink>
        </w:p>
        <w:p w:rsidR="004F48BD" w:rsidRDefault="0062531F">
          <w:pPr>
            <w:pStyle w:val="TDC3"/>
            <w:rPr>
              <w:rFonts w:asciiTheme="minorHAnsi" w:eastAsiaTheme="minorEastAsia" w:hAnsiTheme="minorHAnsi" w:cstheme="minorBidi"/>
              <w:noProof/>
              <w:sz w:val="22"/>
              <w:szCs w:val="22"/>
              <w:lang w:val="es-GT" w:eastAsia="es-GT"/>
            </w:rPr>
          </w:pPr>
          <w:hyperlink w:anchor="_Toc460422682" w:history="1">
            <w:r w:rsidR="004F48BD" w:rsidRPr="0067607C">
              <w:rPr>
                <w:rStyle w:val="Hipervnculo"/>
                <w:b/>
                <w:bCs/>
                <w:noProof/>
              </w:rPr>
              <w:t>5.</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rPr>
              <w:t>Servicio de la deuda pública</w:t>
            </w:r>
            <w:r w:rsidR="004F48BD">
              <w:rPr>
                <w:noProof/>
                <w:webHidden/>
              </w:rPr>
              <w:tab/>
            </w:r>
            <w:r w:rsidR="004F48BD">
              <w:rPr>
                <w:noProof/>
                <w:webHidden/>
              </w:rPr>
              <w:fldChar w:fldCharType="begin"/>
            </w:r>
            <w:r w:rsidR="004F48BD">
              <w:rPr>
                <w:noProof/>
                <w:webHidden/>
              </w:rPr>
              <w:instrText xml:space="preserve"> PAGEREF _Toc460422682 \h </w:instrText>
            </w:r>
            <w:r w:rsidR="004F48BD">
              <w:rPr>
                <w:noProof/>
                <w:webHidden/>
              </w:rPr>
            </w:r>
            <w:r w:rsidR="004F48BD">
              <w:rPr>
                <w:noProof/>
                <w:webHidden/>
              </w:rPr>
              <w:fldChar w:fldCharType="separate"/>
            </w:r>
            <w:r w:rsidR="008537D0">
              <w:rPr>
                <w:noProof/>
                <w:webHidden/>
              </w:rPr>
              <w:t>23</w:t>
            </w:r>
            <w:r w:rsidR="004F48BD">
              <w:rPr>
                <w:noProof/>
                <w:webHidden/>
              </w:rPr>
              <w:fldChar w:fldCharType="end"/>
            </w:r>
          </w:hyperlink>
        </w:p>
        <w:p w:rsidR="004F48BD" w:rsidRDefault="0062531F">
          <w:pPr>
            <w:pStyle w:val="TDC3"/>
            <w:rPr>
              <w:rFonts w:asciiTheme="minorHAnsi" w:eastAsiaTheme="minorEastAsia" w:hAnsiTheme="minorHAnsi" w:cstheme="minorBidi"/>
              <w:noProof/>
              <w:sz w:val="22"/>
              <w:szCs w:val="22"/>
              <w:lang w:val="es-GT" w:eastAsia="es-GT"/>
            </w:rPr>
          </w:pPr>
          <w:hyperlink w:anchor="_Toc460422683" w:history="1">
            <w:r w:rsidR="004F48BD" w:rsidRPr="0067607C">
              <w:rPr>
                <w:rStyle w:val="Hipervnculo"/>
                <w:b/>
                <w:bCs/>
                <w:noProof/>
              </w:rPr>
              <w:t>6.</w:t>
            </w:r>
            <w:r w:rsidR="004F48BD">
              <w:rPr>
                <w:rFonts w:asciiTheme="minorHAnsi" w:eastAsiaTheme="minorEastAsia" w:hAnsiTheme="minorHAnsi" w:cstheme="minorBidi"/>
                <w:noProof/>
                <w:sz w:val="22"/>
                <w:szCs w:val="22"/>
                <w:lang w:val="es-GT" w:eastAsia="es-GT"/>
              </w:rPr>
              <w:tab/>
            </w:r>
            <w:r w:rsidR="004F48BD" w:rsidRPr="0067607C">
              <w:rPr>
                <w:rStyle w:val="Hipervnculo"/>
                <w:b/>
                <w:bCs/>
                <w:noProof/>
              </w:rPr>
              <w:t>Cooperación financiera internacional reembolsable</w:t>
            </w:r>
            <w:r w:rsidR="004F48BD">
              <w:rPr>
                <w:noProof/>
                <w:webHidden/>
              </w:rPr>
              <w:tab/>
            </w:r>
            <w:r w:rsidR="004F48BD">
              <w:rPr>
                <w:noProof/>
                <w:webHidden/>
              </w:rPr>
              <w:fldChar w:fldCharType="begin"/>
            </w:r>
            <w:r w:rsidR="004F48BD">
              <w:rPr>
                <w:noProof/>
                <w:webHidden/>
              </w:rPr>
              <w:instrText xml:space="preserve"> PAGEREF _Toc460422683 \h </w:instrText>
            </w:r>
            <w:r w:rsidR="004F48BD">
              <w:rPr>
                <w:noProof/>
                <w:webHidden/>
              </w:rPr>
            </w:r>
            <w:r w:rsidR="004F48BD">
              <w:rPr>
                <w:noProof/>
                <w:webHidden/>
              </w:rPr>
              <w:fldChar w:fldCharType="separate"/>
            </w:r>
            <w:r w:rsidR="008537D0">
              <w:rPr>
                <w:noProof/>
                <w:webHidden/>
              </w:rPr>
              <w:t>23</w:t>
            </w:r>
            <w:r w:rsidR="004F48BD">
              <w:rPr>
                <w:noProof/>
                <w:webHidden/>
              </w:rPr>
              <w:fldChar w:fldCharType="end"/>
            </w:r>
          </w:hyperlink>
        </w:p>
        <w:p w:rsidR="004F48BD" w:rsidRDefault="0062531F">
          <w:pPr>
            <w:pStyle w:val="TDC1"/>
            <w:rPr>
              <w:rFonts w:asciiTheme="minorHAnsi" w:eastAsiaTheme="minorEastAsia" w:hAnsiTheme="minorHAnsi" w:cstheme="minorBidi"/>
              <w:noProof/>
              <w:sz w:val="22"/>
              <w:szCs w:val="22"/>
              <w:lang w:val="es-GT" w:eastAsia="es-GT"/>
            </w:rPr>
          </w:pPr>
          <w:hyperlink w:anchor="_Toc460422684" w:history="1">
            <w:r w:rsidR="004F48BD" w:rsidRPr="0067607C">
              <w:rPr>
                <w:rStyle w:val="Hipervnculo"/>
                <w:noProof/>
                <w:lang w:val="es-MX"/>
              </w:rPr>
              <w:t>III.  Aspectos Relevantes enero - junio de 2016</w:t>
            </w:r>
            <w:r w:rsidR="004F48BD">
              <w:rPr>
                <w:noProof/>
                <w:webHidden/>
              </w:rPr>
              <w:tab/>
            </w:r>
            <w:r w:rsidR="004F48BD">
              <w:rPr>
                <w:noProof/>
                <w:webHidden/>
              </w:rPr>
              <w:fldChar w:fldCharType="begin"/>
            </w:r>
            <w:r w:rsidR="004F48BD">
              <w:rPr>
                <w:noProof/>
                <w:webHidden/>
              </w:rPr>
              <w:instrText xml:space="preserve"> PAGEREF _Toc460422684 \h </w:instrText>
            </w:r>
            <w:r w:rsidR="004F48BD">
              <w:rPr>
                <w:noProof/>
                <w:webHidden/>
              </w:rPr>
            </w:r>
            <w:r w:rsidR="004F48BD">
              <w:rPr>
                <w:noProof/>
                <w:webHidden/>
              </w:rPr>
              <w:fldChar w:fldCharType="separate"/>
            </w:r>
            <w:r w:rsidR="008537D0">
              <w:rPr>
                <w:noProof/>
                <w:webHidden/>
              </w:rPr>
              <w:t>24</w:t>
            </w:r>
            <w:r w:rsidR="004F48BD">
              <w:rPr>
                <w:noProof/>
                <w:webHidden/>
              </w:rPr>
              <w:fldChar w:fldCharType="end"/>
            </w:r>
          </w:hyperlink>
        </w:p>
        <w:p w:rsidR="004F48BD" w:rsidRDefault="0062531F">
          <w:pPr>
            <w:pStyle w:val="TDC1"/>
            <w:rPr>
              <w:rFonts w:asciiTheme="minorHAnsi" w:eastAsiaTheme="minorEastAsia" w:hAnsiTheme="minorHAnsi" w:cstheme="minorBidi"/>
              <w:noProof/>
              <w:sz w:val="22"/>
              <w:szCs w:val="22"/>
              <w:lang w:val="es-GT" w:eastAsia="es-GT"/>
            </w:rPr>
          </w:pPr>
          <w:hyperlink w:anchor="_Toc460422685" w:history="1">
            <w:r w:rsidR="004F48BD" w:rsidRPr="0067607C">
              <w:rPr>
                <w:rStyle w:val="Hipervnculo"/>
                <w:noProof/>
                <w:lang w:val="es-MX"/>
              </w:rPr>
              <w:t>IV.</w:t>
            </w:r>
            <w:r w:rsidR="004F48BD">
              <w:rPr>
                <w:rFonts w:asciiTheme="minorHAnsi" w:eastAsiaTheme="minorEastAsia" w:hAnsiTheme="minorHAnsi" w:cstheme="minorBidi"/>
                <w:noProof/>
                <w:sz w:val="22"/>
                <w:szCs w:val="22"/>
                <w:lang w:val="es-GT" w:eastAsia="es-GT"/>
              </w:rPr>
              <w:tab/>
            </w:r>
            <w:r w:rsidR="004F48BD" w:rsidRPr="0067607C">
              <w:rPr>
                <w:rStyle w:val="Hipervnculo"/>
                <w:noProof/>
                <w:lang w:val="es-MX"/>
              </w:rPr>
              <w:t>Logros Relevantes de enero - junio de 2016</w:t>
            </w:r>
            <w:r w:rsidR="004F48BD">
              <w:rPr>
                <w:noProof/>
                <w:webHidden/>
              </w:rPr>
              <w:tab/>
            </w:r>
            <w:r w:rsidR="004F48BD">
              <w:rPr>
                <w:noProof/>
                <w:webHidden/>
              </w:rPr>
              <w:fldChar w:fldCharType="begin"/>
            </w:r>
            <w:r w:rsidR="004F48BD">
              <w:rPr>
                <w:noProof/>
                <w:webHidden/>
              </w:rPr>
              <w:instrText xml:space="preserve"> PAGEREF _Toc460422685 \h </w:instrText>
            </w:r>
            <w:r w:rsidR="004F48BD">
              <w:rPr>
                <w:noProof/>
                <w:webHidden/>
              </w:rPr>
            </w:r>
            <w:r w:rsidR="004F48BD">
              <w:rPr>
                <w:noProof/>
                <w:webHidden/>
              </w:rPr>
              <w:fldChar w:fldCharType="separate"/>
            </w:r>
            <w:r w:rsidR="008537D0">
              <w:rPr>
                <w:noProof/>
                <w:webHidden/>
              </w:rPr>
              <w:t>28</w:t>
            </w:r>
            <w:r w:rsidR="004F48BD">
              <w:rPr>
                <w:noProof/>
                <w:webHidden/>
              </w:rPr>
              <w:fldChar w:fldCharType="end"/>
            </w:r>
          </w:hyperlink>
        </w:p>
        <w:p w:rsidR="009C2D46" w:rsidRDefault="007C7DEE" w:rsidP="00441F4D">
          <w:pPr>
            <w:jc w:val="right"/>
          </w:pPr>
          <w:r w:rsidRPr="0019180E">
            <w:rPr>
              <w:b/>
              <w:bCs/>
            </w:rPr>
            <w:fldChar w:fldCharType="end"/>
          </w:r>
        </w:p>
      </w:sdtContent>
    </w:sdt>
    <w:p w:rsidR="00700218" w:rsidRPr="00150099" w:rsidRDefault="00700218" w:rsidP="0090230E">
      <w:pPr>
        <w:pStyle w:val="Prrafodelista"/>
        <w:tabs>
          <w:tab w:val="left" w:pos="870"/>
        </w:tabs>
        <w:ind w:left="720"/>
        <w:contextualSpacing/>
        <w:jc w:val="right"/>
        <w:rPr>
          <w:highlight w:val="yellow"/>
        </w:rPr>
      </w:pPr>
    </w:p>
    <w:p w:rsidR="00612210" w:rsidRDefault="00612210">
      <w:pPr>
        <w:rPr>
          <w:lang w:val="es-MX"/>
        </w:rPr>
      </w:pPr>
      <w:r>
        <w:rPr>
          <w:lang w:val="es-MX"/>
        </w:rPr>
        <w:br w:type="page"/>
      </w:r>
    </w:p>
    <w:p w:rsidR="004F48BD" w:rsidRDefault="004F48BD" w:rsidP="004F48BD">
      <w:pPr>
        <w:rPr>
          <w:b/>
          <w:bCs/>
          <w:lang w:val="es-MX"/>
        </w:rPr>
      </w:pPr>
    </w:p>
    <w:p w:rsidR="004F48BD" w:rsidRPr="00D83855" w:rsidRDefault="004F48BD" w:rsidP="004F48BD">
      <w:pPr>
        <w:pStyle w:val="Ttulo1"/>
        <w:numPr>
          <w:ilvl w:val="0"/>
          <w:numId w:val="13"/>
        </w:numPr>
        <w:rPr>
          <w:lang w:val="es-GT"/>
        </w:rPr>
      </w:pPr>
      <w:bookmarkStart w:id="1" w:name="_Toc221950152"/>
      <w:bookmarkStart w:id="2" w:name="_Toc460420492"/>
      <w:bookmarkStart w:id="3" w:name="_Toc460422666"/>
      <w:r w:rsidRPr="00D83855">
        <w:rPr>
          <w:lang w:val="es-GT"/>
        </w:rPr>
        <w:t>La Política Fiscal en 20</w:t>
      </w:r>
      <w:bookmarkEnd w:id="1"/>
      <w:r w:rsidRPr="00D83855">
        <w:rPr>
          <w:lang w:val="es-GT"/>
        </w:rPr>
        <w:t>1</w:t>
      </w:r>
      <w:r>
        <w:rPr>
          <w:lang w:val="es-GT"/>
        </w:rPr>
        <w:t>6</w:t>
      </w:r>
      <w:bookmarkEnd w:id="2"/>
      <w:bookmarkEnd w:id="3"/>
    </w:p>
    <w:p w:rsidR="004F48BD" w:rsidRPr="00D83855" w:rsidRDefault="004F48BD" w:rsidP="004F48BD">
      <w:pPr>
        <w:autoSpaceDE w:val="0"/>
        <w:autoSpaceDN w:val="0"/>
        <w:adjustRightInd w:val="0"/>
        <w:rPr>
          <w:b/>
          <w:bCs/>
          <w:highlight w:val="yellow"/>
          <w:lang w:val="es-GT"/>
        </w:rPr>
      </w:pPr>
    </w:p>
    <w:p w:rsidR="004F48BD" w:rsidRDefault="004F48BD" w:rsidP="004F48BD">
      <w:pPr>
        <w:jc w:val="both"/>
        <w:rPr>
          <w:b/>
        </w:rPr>
      </w:pPr>
      <w:r w:rsidRPr="003C2943">
        <w:rPr>
          <w:b/>
        </w:rPr>
        <w:t>Política Fiscal 201</w:t>
      </w:r>
      <w:r>
        <w:rPr>
          <w:b/>
        </w:rPr>
        <w:t>6</w:t>
      </w:r>
      <w:r w:rsidRPr="003C2943">
        <w:rPr>
          <w:b/>
        </w:rPr>
        <w:t xml:space="preserve"> </w:t>
      </w:r>
    </w:p>
    <w:p w:rsidR="004F48BD" w:rsidRPr="003C2943" w:rsidRDefault="004F48BD" w:rsidP="004F48BD">
      <w:pPr>
        <w:jc w:val="both"/>
        <w:rPr>
          <w:b/>
        </w:rPr>
      </w:pPr>
    </w:p>
    <w:p w:rsidR="004F48BD" w:rsidRDefault="004F48BD" w:rsidP="004F48BD">
      <w:pPr>
        <w:jc w:val="both"/>
      </w:pPr>
      <w:r>
        <w:t>“La Política General de Gobierno requiere de un Estado fortalecido para orientarse al desarrollo y la realización del bien común”</w:t>
      </w:r>
      <w:r>
        <w:rPr>
          <w:rStyle w:val="Refdenotaalpie"/>
        </w:rPr>
        <w:footnoteReference w:id="1"/>
      </w:r>
      <w:r>
        <w:t>. Las metas que el Gobierno de Guatemala se propone alcanzar durante el período 2016-2020, son las siguientes:</w:t>
      </w:r>
    </w:p>
    <w:p w:rsidR="004F48BD" w:rsidRPr="003132DD" w:rsidRDefault="004F48BD" w:rsidP="004F48BD">
      <w:pPr>
        <w:jc w:val="both"/>
        <w:rPr>
          <w:sz w:val="20"/>
        </w:rPr>
      </w:pPr>
      <w:r w:rsidRPr="003132DD">
        <w:rPr>
          <w:sz w:val="20"/>
        </w:rPr>
        <w:t xml:space="preserve"> </w:t>
      </w:r>
    </w:p>
    <w:p w:rsidR="004F48BD" w:rsidRDefault="004F48BD" w:rsidP="004F48BD">
      <w:pPr>
        <w:numPr>
          <w:ilvl w:val="0"/>
          <w:numId w:val="12"/>
        </w:numPr>
        <w:jc w:val="both"/>
      </w:pPr>
      <w:r>
        <w:t>Tolerancia cero a la corrupción y modernización del Estado.</w:t>
      </w:r>
    </w:p>
    <w:p w:rsidR="004F48BD" w:rsidRDefault="004F48BD" w:rsidP="004F48BD">
      <w:pPr>
        <w:numPr>
          <w:ilvl w:val="0"/>
          <w:numId w:val="12"/>
        </w:numPr>
        <w:jc w:val="both"/>
      </w:pPr>
      <w:r>
        <w:t>Seguridad alimentaria, salud integral y educación para todas y todos.</w:t>
      </w:r>
    </w:p>
    <w:p w:rsidR="004F48BD" w:rsidRDefault="004F48BD" w:rsidP="004F48BD">
      <w:pPr>
        <w:numPr>
          <w:ilvl w:val="0"/>
          <w:numId w:val="12"/>
        </w:numPr>
        <w:jc w:val="both"/>
      </w:pPr>
      <w:r>
        <w:t>Fomento de las Mipymes, turismo, vivienda y trabajo digno y decente.</w:t>
      </w:r>
    </w:p>
    <w:p w:rsidR="004F48BD" w:rsidRDefault="004F48BD" w:rsidP="004F48BD">
      <w:pPr>
        <w:numPr>
          <w:ilvl w:val="0"/>
          <w:numId w:val="12"/>
        </w:numPr>
        <w:jc w:val="both"/>
      </w:pPr>
      <w:r>
        <w:t>Seguridad ciudadana.</w:t>
      </w:r>
    </w:p>
    <w:p w:rsidR="004F48BD" w:rsidRDefault="004F48BD" w:rsidP="004F48BD">
      <w:pPr>
        <w:numPr>
          <w:ilvl w:val="0"/>
          <w:numId w:val="12"/>
        </w:numPr>
        <w:jc w:val="both"/>
      </w:pPr>
      <w:r>
        <w:t>Ambiente y recursos naturales.</w:t>
      </w:r>
    </w:p>
    <w:p w:rsidR="004F48BD" w:rsidRDefault="004F48BD" w:rsidP="004F48BD">
      <w:pPr>
        <w:numPr>
          <w:ilvl w:val="0"/>
          <w:numId w:val="12"/>
        </w:numPr>
        <w:jc w:val="both"/>
      </w:pPr>
      <w:r>
        <w:t>Combate a la pobreza general y pobreza extrema.</w:t>
      </w:r>
    </w:p>
    <w:p w:rsidR="004F48BD" w:rsidRPr="003C2943" w:rsidRDefault="004F48BD" w:rsidP="004F48BD">
      <w:pPr>
        <w:jc w:val="both"/>
      </w:pPr>
      <w:r w:rsidRPr="003C2943">
        <w:t xml:space="preserve"> </w:t>
      </w:r>
    </w:p>
    <w:p w:rsidR="004F48BD" w:rsidRDefault="004F48BD" w:rsidP="004F48BD">
      <w:pPr>
        <w:jc w:val="both"/>
      </w:pPr>
      <w:r w:rsidRPr="00D826BF">
        <w:t xml:space="preserve">En este marco, la </w:t>
      </w:r>
      <w:r>
        <w:t>P</w:t>
      </w:r>
      <w:r w:rsidRPr="00D826BF">
        <w:t xml:space="preserve">olítica </w:t>
      </w:r>
      <w:r>
        <w:t>F</w:t>
      </w:r>
      <w:r w:rsidRPr="00D826BF">
        <w:t xml:space="preserve">iscal del </w:t>
      </w:r>
      <w:r>
        <w:t>G</w:t>
      </w:r>
      <w:r w:rsidRPr="00D826BF">
        <w:t xml:space="preserve">obierno plantea </w:t>
      </w:r>
      <w:r>
        <w:t xml:space="preserve">la puesta en práctica de una política fiscal sostenible a partir del manejo honesto, racional y eficiente de los ingresos públicos; el aseguramiento de una política prudente en materia de crédito público, para atender los estándares recomendados de sostenibilidad de la deuda pública. Estos lineamientos se reflejarán en el presupuesto de cada año. </w:t>
      </w:r>
    </w:p>
    <w:p w:rsidR="004F48BD" w:rsidRPr="003132DD" w:rsidRDefault="004F48BD" w:rsidP="004F48BD">
      <w:pPr>
        <w:jc w:val="both"/>
        <w:rPr>
          <w:sz w:val="20"/>
          <w:highlight w:val="yellow"/>
        </w:rPr>
      </w:pPr>
    </w:p>
    <w:p w:rsidR="004F48BD" w:rsidRDefault="004F48BD" w:rsidP="004F48BD">
      <w:pPr>
        <w:jc w:val="both"/>
        <w:rPr>
          <w:b/>
        </w:rPr>
      </w:pPr>
      <w:r>
        <w:rPr>
          <w:b/>
        </w:rPr>
        <w:t xml:space="preserve">Avances </w:t>
      </w:r>
      <w:r w:rsidRPr="003C2943">
        <w:rPr>
          <w:b/>
        </w:rPr>
        <w:t>de la política</w:t>
      </w:r>
      <w:r>
        <w:rPr>
          <w:b/>
        </w:rPr>
        <w:t xml:space="preserve"> fiscal</w:t>
      </w:r>
    </w:p>
    <w:p w:rsidR="004F48BD" w:rsidRDefault="004F48BD" w:rsidP="004F48BD">
      <w:pPr>
        <w:jc w:val="both"/>
        <w:rPr>
          <w:b/>
        </w:rPr>
      </w:pPr>
    </w:p>
    <w:p w:rsidR="004F48BD" w:rsidRDefault="004F48BD" w:rsidP="004F48BD">
      <w:pPr>
        <w:jc w:val="both"/>
      </w:pPr>
      <w:r w:rsidRPr="00EB2FBA">
        <w:t>En el primer semestre, se logró consolidar</w:t>
      </w:r>
      <w:r>
        <w:t xml:space="preserve"> y poner en orden </w:t>
      </w:r>
      <w:r w:rsidRPr="00EB2FBA">
        <w:t xml:space="preserve"> las finanzas públicas del Estado, con un presupuesto más viable, garantizando </w:t>
      </w:r>
      <w:r>
        <w:t>su</w:t>
      </w:r>
      <w:r w:rsidRPr="00EB2FBA">
        <w:t xml:space="preserve"> financiamiento de manera eficiente a través de </w:t>
      </w:r>
      <w:r w:rsidRPr="00D4589F">
        <w:t xml:space="preserve">medidas de contención de gasto </w:t>
      </w:r>
      <w:r>
        <w:t xml:space="preserve">y </w:t>
      </w:r>
      <w:r w:rsidRPr="00EB2FBA">
        <w:t xml:space="preserve">ahorros importantes en </w:t>
      </w:r>
      <w:r>
        <w:t xml:space="preserve">los </w:t>
      </w:r>
      <w:r w:rsidRPr="00EB2FBA">
        <w:t>costos de financiami</w:t>
      </w:r>
      <w:r>
        <w:t>ento a largo plazo, así como acciones pro transparencia en el uso de los recursos y la implementación de normas de eficiencia y calidad del gasto que permiten regular las compras y contrataciones.</w:t>
      </w:r>
    </w:p>
    <w:p w:rsidR="004F48BD" w:rsidRDefault="004F48BD" w:rsidP="004F48BD">
      <w:pPr>
        <w:jc w:val="both"/>
      </w:pPr>
    </w:p>
    <w:p w:rsidR="004F48BD" w:rsidRPr="00A36BF3" w:rsidRDefault="004F48BD" w:rsidP="004F48BD">
      <w:pPr>
        <w:jc w:val="both"/>
      </w:pPr>
      <w:r w:rsidRPr="00A36BF3">
        <w:t>Entre los logros más sobresalientes del primer semestre están:</w:t>
      </w:r>
    </w:p>
    <w:p w:rsidR="004F48BD" w:rsidRPr="00A36BF3" w:rsidRDefault="004F48BD" w:rsidP="004F48BD">
      <w:pPr>
        <w:jc w:val="both"/>
      </w:pPr>
    </w:p>
    <w:p w:rsidR="004F48BD" w:rsidRDefault="004F48BD" w:rsidP="004F48BD">
      <w:pPr>
        <w:pStyle w:val="Prrafodelista"/>
        <w:numPr>
          <w:ilvl w:val="0"/>
          <w:numId w:val="14"/>
        </w:numPr>
        <w:jc w:val="both"/>
      </w:pPr>
      <w:r w:rsidRPr="00A36BF3">
        <w:t xml:space="preserve">Orden en las finanzas Públicas: </w:t>
      </w:r>
    </w:p>
    <w:p w:rsidR="004F48BD" w:rsidRPr="009F020B" w:rsidRDefault="004F48BD" w:rsidP="004F48BD">
      <w:pPr>
        <w:pStyle w:val="Prrafodelista"/>
        <w:ind w:left="720"/>
        <w:jc w:val="both"/>
        <w:rPr>
          <w:sz w:val="12"/>
        </w:rPr>
      </w:pPr>
    </w:p>
    <w:p w:rsidR="004F48BD" w:rsidRDefault="004F48BD" w:rsidP="004F48BD">
      <w:pPr>
        <w:pStyle w:val="Prrafodelista"/>
        <w:ind w:left="720"/>
        <w:jc w:val="both"/>
      </w:pPr>
      <w:r>
        <w:t xml:space="preserve">a) </w:t>
      </w:r>
      <w:r w:rsidRPr="00A36BF3">
        <w:t>Se firmó convenio para la formulación del presupuesto y la aprobación de la Ley de viabilización presupuestaria para 2016.</w:t>
      </w:r>
      <w:r>
        <w:t xml:space="preserve"> </w:t>
      </w:r>
    </w:p>
    <w:p w:rsidR="004F48BD" w:rsidRPr="009F020B" w:rsidRDefault="004F48BD" w:rsidP="004F48BD">
      <w:pPr>
        <w:pStyle w:val="Prrafodelista"/>
        <w:ind w:left="720"/>
        <w:jc w:val="both"/>
        <w:rPr>
          <w:sz w:val="12"/>
        </w:rPr>
      </w:pPr>
    </w:p>
    <w:p w:rsidR="004F48BD" w:rsidRDefault="004F48BD" w:rsidP="004F48BD">
      <w:pPr>
        <w:pStyle w:val="Prrafodelista"/>
        <w:ind w:left="720"/>
        <w:jc w:val="both"/>
      </w:pPr>
      <w:r>
        <w:t xml:space="preserve">b) Se financiaron las necesidades prioritarias del presupuesto del Estado. </w:t>
      </w:r>
    </w:p>
    <w:p w:rsidR="004F48BD" w:rsidRPr="009F020B" w:rsidRDefault="004F48BD" w:rsidP="004F48BD">
      <w:pPr>
        <w:pStyle w:val="Prrafodelista"/>
        <w:ind w:left="720"/>
        <w:jc w:val="both"/>
        <w:rPr>
          <w:sz w:val="12"/>
        </w:rPr>
      </w:pPr>
    </w:p>
    <w:p w:rsidR="004F48BD" w:rsidRDefault="004F48BD" w:rsidP="004F48BD">
      <w:pPr>
        <w:pStyle w:val="Prrafodelista"/>
        <w:ind w:left="720"/>
        <w:jc w:val="both"/>
      </w:pPr>
      <w:r>
        <w:t>c) Acompañamiento en proyecto de ley de reformas a la ley Orgánica de la Superintendencia de Administración Tributaria (SAT).</w:t>
      </w:r>
    </w:p>
    <w:p w:rsidR="004F48BD" w:rsidRPr="009F020B" w:rsidRDefault="004F48BD" w:rsidP="004F48BD">
      <w:pPr>
        <w:pStyle w:val="Prrafodelista"/>
        <w:ind w:left="720"/>
        <w:jc w:val="both"/>
        <w:rPr>
          <w:sz w:val="14"/>
        </w:rPr>
      </w:pPr>
    </w:p>
    <w:p w:rsidR="004F48BD" w:rsidRPr="00A36BF3" w:rsidRDefault="004F48BD" w:rsidP="004F48BD">
      <w:pPr>
        <w:pStyle w:val="Prrafodelista"/>
        <w:numPr>
          <w:ilvl w:val="0"/>
          <w:numId w:val="14"/>
        </w:numPr>
        <w:jc w:val="both"/>
      </w:pPr>
      <w:r>
        <w:t>Gobierno Abierto y Transparencia en el gasto: Respecto al Presupuesto Abierto se implementó la discusión pública de las necesidades presupuestarias de las instituciones para el Presupuesto General de Ingresos y Egresos del Estado para el Ejercicio Fiscal 2017.</w:t>
      </w:r>
    </w:p>
    <w:p w:rsidR="004F48BD" w:rsidRPr="00A749F6" w:rsidRDefault="004F48BD" w:rsidP="004F48BD">
      <w:pPr>
        <w:pStyle w:val="Ttulo1"/>
        <w:numPr>
          <w:ilvl w:val="0"/>
          <w:numId w:val="0"/>
        </w:numPr>
      </w:pPr>
    </w:p>
    <w:p w:rsidR="004F48BD" w:rsidRDefault="004F48BD" w:rsidP="004F48BD">
      <w:pPr>
        <w:pStyle w:val="Ttulo1"/>
        <w:numPr>
          <w:ilvl w:val="0"/>
          <w:numId w:val="13"/>
        </w:numPr>
        <w:rPr>
          <w:lang w:val="es-MX"/>
        </w:rPr>
      </w:pPr>
      <w:bookmarkStart w:id="4" w:name="_Toc460420493"/>
      <w:bookmarkStart w:id="5" w:name="_Toc460422667"/>
      <w:r w:rsidRPr="00FA433E">
        <w:rPr>
          <w:lang w:val="es-MX"/>
        </w:rPr>
        <w:t>Situación Financiera de la Administración Central</w:t>
      </w:r>
      <w:bookmarkEnd w:id="4"/>
      <w:bookmarkEnd w:id="5"/>
    </w:p>
    <w:p w:rsidR="004F48BD" w:rsidRPr="00B13B5D" w:rsidRDefault="004F48BD" w:rsidP="004F48BD">
      <w:pPr>
        <w:rPr>
          <w:sz w:val="14"/>
          <w:lang w:val="es-MX"/>
        </w:rPr>
      </w:pPr>
    </w:p>
    <w:p w:rsidR="004F48BD" w:rsidRPr="008E7DDA" w:rsidRDefault="004F48BD" w:rsidP="004F48BD">
      <w:pPr>
        <w:pStyle w:val="Ttulo2"/>
        <w:rPr>
          <w:rFonts w:ascii="Times New Roman" w:hAnsi="Times New Roman"/>
          <w:color w:val="auto"/>
          <w:sz w:val="24"/>
        </w:rPr>
      </w:pPr>
      <w:bookmarkStart w:id="6" w:name="_Toc458677161"/>
      <w:bookmarkStart w:id="7" w:name="_Toc460420494"/>
      <w:bookmarkStart w:id="8" w:name="_Toc460422668"/>
      <w:r w:rsidRPr="008E7DDA">
        <w:rPr>
          <w:rFonts w:ascii="Times New Roman" w:hAnsi="Times New Roman"/>
          <w:color w:val="auto"/>
          <w:sz w:val="24"/>
        </w:rPr>
        <w:t>Ingresos</w:t>
      </w:r>
      <w:bookmarkEnd w:id="6"/>
      <w:bookmarkEnd w:id="7"/>
      <w:bookmarkEnd w:id="8"/>
    </w:p>
    <w:p w:rsidR="004F48BD" w:rsidRPr="0007286D" w:rsidRDefault="004F48BD" w:rsidP="004F48BD">
      <w:pPr>
        <w:rPr>
          <w:sz w:val="18"/>
        </w:rPr>
      </w:pPr>
    </w:p>
    <w:p w:rsidR="004F48BD" w:rsidRDefault="004F48BD" w:rsidP="004F48BD">
      <w:pPr>
        <w:jc w:val="both"/>
      </w:pPr>
      <w:r w:rsidRPr="008E7DDA">
        <w:t xml:space="preserve">Los ingresos tributarios acumulados netos </w:t>
      </w:r>
      <w:r>
        <w:t>se sitúan e</w:t>
      </w:r>
      <w:r w:rsidRPr="008E7DDA">
        <w:t xml:space="preserve">n </w:t>
      </w:r>
      <w:r>
        <w:t>Q.</w:t>
      </w:r>
      <w:r w:rsidRPr="008E7DDA">
        <w:t>2</w:t>
      </w:r>
      <w:r>
        <w:t>6</w:t>
      </w:r>
      <w:r w:rsidRPr="008E7DDA">
        <w:t>,</w:t>
      </w:r>
      <w:r>
        <w:t>086.0</w:t>
      </w:r>
      <w:r w:rsidRPr="008E7DDA">
        <w:t xml:space="preserve"> millones</w:t>
      </w:r>
      <w:r>
        <w:t>,</w:t>
      </w:r>
      <w:r w:rsidRPr="008E7DDA">
        <w:t xml:space="preserve"> </w:t>
      </w:r>
      <w:r>
        <w:t xml:space="preserve">monto superior en 6.5% </w:t>
      </w:r>
      <w:r w:rsidRPr="00C37602">
        <w:t>(Q1,591.5 millones)</w:t>
      </w:r>
      <w:r>
        <w:t xml:space="preserve"> a lo observado en el mismo período de 2015, el incremento se atribuye a los esfuerzos administrativos que la Administración Tributaria ha puesto en marcha,  los cuales han tenido impacto positivo </w:t>
      </w:r>
      <w:r w:rsidRPr="00C37602">
        <w:t>principalmente</w:t>
      </w:r>
      <w:r>
        <w:t xml:space="preserve">, en la recaudación del ISR, el IVA doméstico, entre otros. </w:t>
      </w:r>
    </w:p>
    <w:p w:rsidR="004F48BD" w:rsidRDefault="004F48BD" w:rsidP="004F48BD">
      <w:pPr>
        <w:pStyle w:val="Textonotapie"/>
        <w:jc w:val="both"/>
        <w:rPr>
          <w:sz w:val="24"/>
          <w:szCs w:val="24"/>
        </w:rPr>
      </w:pPr>
    </w:p>
    <w:p w:rsidR="004F48BD" w:rsidRPr="00AC33DC" w:rsidRDefault="004F48BD" w:rsidP="004F48BD">
      <w:pPr>
        <w:jc w:val="center"/>
        <w:rPr>
          <w:b/>
          <w:sz w:val="22"/>
          <w:lang w:val="es-MX"/>
        </w:rPr>
      </w:pPr>
      <w:r w:rsidRPr="00AC33DC">
        <w:rPr>
          <w:b/>
          <w:sz w:val="22"/>
          <w:lang w:val="es-MX"/>
        </w:rPr>
        <w:t xml:space="preserve">Cuadro </w:t>
      </w:r>
      <w:r>
        <w:rPr>
          <w:b/>
          <w:sz w:val="22"/>
          <w:lang w:val="es-MX"/>
        </w:rPr>
        <w:t>1</w:t>
      </w:r>
    </w:p>
    <w:p w:rsidR="004F48BD" w:rsidRDefault="004F48BD" w:rsidP="004F48BD">
      <w:pPr>
        <w:jc w:val="center"/>
        <w:rPr>
          <w:b/>
          <w:sz w:val="22"/>
          <w:lang w:val="es-MX"/>
        </w:rPr>
      </w:pPr>
      <w:r w:rsidRPr="00AC33DC">
        <w:rPr>
          <w:b/>
          <w:sz w:val="22"/>
          <w:lang w:val="es-MX"/>
        </w:rPr>
        <w:t>Ingresos Tributarios Netos de la Administración Central</w:t>
      </w:r>
    </w:p>
    <w:p w:rsidR="004F48BD" w:rsidRPr="00AC33DC" w:rsidRDefault="004F48BD" w:rsidP="004F48BD">
      <w:pPr>
        <w:jc w:val="center"/>
        <w:rPr>
          <w:b/>
          <w:sz w:val="22"/>
          <w:lang w:val="es-MX"/>
        </w:rPr>
      </w:pPr>
      <w:r>
        <w:rPr>
          <w:b/>
          <w:sz w:val="22"/>
          <w:lang w:val="es-MX"/>
        </w:rPr>
        <w:t>2015-2016*</w:t>
      </w:r>
    </w:p>
    <w:p w:rsidR="004F48BD" w:rsidRPr="004F48BD" w:rsidRDefault="004F48BD" w:rsidP="004F48BD">
      <w:pPr>
        <w:jc w:val="center"/>
        <w:rPr>
          <w:i/>
          <w:sz w:val="22"/>
          <w:lang w:val="es-MX"/>
        </w:rPr>
      </w:pPr>
      <w:r w:rsidRPr="004F48BD">
        <w:rPr>
          <w:i/>
          <w:sz w:val="22"/>
          <w:lang w:val="es-MX"/>
        </w:rPr>
        <w:t>Estimado al 30 de junio de cada año</w:t>
      </w:r>
    </w:p>
    <w:p w:rsidR="004F48BD" w:rsidRPr="004F48BD" w:rsidRDefault="004F48BD" w:rsidP="004F48BD">
      <w:pPr>
        <w:jc w:val="center"/>
        <w:rPr>
          <w:i/>
          <w:sz w:val="22"/>
          <w:lang w:val="es-MX"/>
        </w:rPr>
      </w:pPr>
      <w:r w:rsidRPr="004F48BD">
        <w:rPr>
          <w:i/>
          <w:sz w:val="22"/>
          <w:lang w:val="es-MX"/>
        </w:rPr>
        <w:t>(Cifras en Millones de Quetzales y porcentajes)</w:t>
      </w:r>
    </w:p>
    <w:tbl>
      <w:tblPr>
        <w:tblW w:w="8749" w:type="dxa"/>
        <w:tblInd w:w="60" w:type="dxa"/>
        <w:tblCellMar>
          <w:left w:w="70" w:type="dxa"/>
          <w:right w:w="70" w:type="dxa"/>
        </w:tblCellMar>
        <w:tblLook w:val="04A0" w:firstRow="1" w:lastRow="0" w:firstColumn="1" w:lastColumn="0" w:noHBand="0" w:noVBand="1"/>
      </w:tblPr>
      <w:tblGrid>
        <w:gridCol w:w="4891"/>
        <w:gridCol w:w="958"/>
        <w:gridCol w:w="958"/>
        <w:gridCol w:w="984"/>
        <w:gridCol w:w="958"/>
      </w:tblGrid>
      <w:tr w:rsidR="004F48BD" w:rsidRPr="00137200" w:rsidTr="004F48BD">
        <w:trPr>
          <w:trHeight w:val="289"/>
        </w:trPr>
        <w:tc>
          <w:tcPr>
            <w:tcW w:w="4891" w:type="dxa"/>
            <w:vMerge w:val="restart"/>
            <w:tcBorders>
              <w:top w:val="single" w:sz="8" w:space="0" w:color="auto"/>
              <w:left w:val="nil"/>
              <w:bottom w:val="single" w:sz="8" w:space="0" w:color="000000"/>
              <w:right w:val="single" w:sz="8" w:space="0" w:color="auto"/>
            </w:tcBorders>
            <w:shd w:val="clear" w:color="000000" w:fill="1F497D"/>
            <w:vAlign w:val="center"/>
            <w:hideMark/>
          </w:tcPr>
          <w:p w:rsidR="004F48BD" w:rsidRPr="00177EBF" w:rsidRDefault="004F48BD" w:rsidP="004F48BD">
            <w:pPr>
              <w:jc w:val="center"/>
              <w:rPr>
                <w:b/>
                <w:bCs/>
                <w:color w:val="FFFFFF"/>
                <w:sz w:val="18"/>
                <w:szCs w:val="20"/>
              </w:rPr>
            </w:pPr>
            <w:r w:rsidRPr="00177EBF">
              <w:rPr>
                <w:b/>
                <w:bCs/>
                <w:color w:val="FFFFFF"/>
                <w:sz w:val="18"/>
                <w:szCs w:val="20"/>
              </w:rPr>
              <w:t>Concepto</w:t>
            </w:r>
          </w:p>
        </w:tc>
        <w:tc>
          <w:tcPr>
            <w:tcW w:w="958"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rsidR="004F48BD" w:rsidRPr="00177EBF" w:rsidRDefault="004F48BD" w:rsidP="004F48BD">
            <w:pPr>
              <w:jc w:val="center"/>
              <w:rPr>
                <w:b/>
                <w:bCs/>
                <w:color w:val="FFFFFF"/>
                <w:sz w:val="18"/>
                <w:szCs w:val="20"/>
              </w:rPr>
            </w:pPr>
            <w:r w:rsidRPr="00177EBF">
              <w:rPr>
                <w:b/>
                <w:bCs/>
                <w:color w:val="FFFFFF"/>
                <w:sz w:val="18"/>
                <w:szCs w:val="20"/>
              </w:rPr>
              <w:t>2015</w:t>
            </w:r>
          </w:p>
        </w:tc>
        <w:tc>
          <w:tcPr>
            <w:tcW w:w="958" w:type="dxa"/>
            <w:vMerge w:val="restart"/>
            <w:tcBorders>
              <w:top w:val="single" w:sz="8" w:space="0" w:color="auto"/>
              <w:left w:val="single" w:sz="8" w:space="0" w:color="auto"/>
              <w:bottom w:val="single" w:sz="8" w:space="0" w:color="000000"/>
              <w:right w:val="single" w:sz="8" w:space="0" w:color="auto"/>
            </w:tcBorders>
            <w:shd w:val="clear" w:color="000000" w:fill="1F497D"/>
            <w:vAlign w:val="center"/>
            <w:hideMark/>
          </w:tcPr>
          <w:p w:rsidR="004F48BD" w:rsidRPr="00177EBF" w:rsidRDefault="004F48BD" w:rsidP="004F48BD">
            <w:pPr>
              <w:jc w:val="center"/>
              <w:rPr>
                <w:b/>
                <w:bCs/>
                <w:color w:val="FFFFFF"/>
                <w:sz w:val="18"/>
                <w:szCs w:val="20"/>
              </w:rPr>
            </w:pPr>
            <w:r w:rsidRPr="00177EBF">
              <w:rPr>
                <w:b/>
                <w:bCs/>
                <w:color w:val="FFFFFF"/>
                <w:sz w:val="18"/>
                <w:szCs w:val="20"/>
              </w:rPr>
              <w:t>2016*</w:t>
            </w:r>
          </w:p>
        </w:tc>
        <w:tc>
          <w:tcPr>
            <w:tcW w:w="1942" w:type="dxa"/>
            <w:gridSpan w:val="2"/>
            <w:tcBorders>
              <w:top w:val="single" w:sz="8" w:space="0" w:color="auto"/>
              <w:left w:val="nil"/>
              <w:bottom w:val="single" w:sz="8" w:space="0" w:color="auto"/>
              <w:right w:val="nil"/>
            </w:tcBorders>
            <w:shd w:val="clear" w:color="000000" w:fill="1F497D"/>
            <w:hideMark/>
          </w:tcPr>
          <w:p w:rsidR="004F48BD" w:rsidRPr="00177EBF" w:rsidRDefault="004F48BD" w:rsidP="004F48BD">
            <w:pPr>
              <w:jc w:val="center"/>
              <w:rPr>
                <w:b/>
                <w:bCs/>
                <w:color w:val="FFFFFF"/>
                <w:sz w:val="18"/>
                <w:szCs w:val="20"/>
              </w:rPr>
            </w:pPr>
            <w:r w:rsidRPr="00177EBF">
              <w:rPr>
                <w:b/>
                <w:bCs/>
                <w:color w:val="FFFFFF"/>
                <w:sz w:val="18"/>
                <w:szCs w:val="20"/>
              </w:rPr>
              <w:t>Diferencia</w:t>
            </w:r>
          </w:p>
        </w:tc>
      </w:tr>
      <w:tr w:rsidR="004F48BD" w:rsidRPr="00137200" w:rsidTr="004F48BD">
        <w:trPr>
          <w:trHeight w:val="289"/>
        </w:trPr>
        <w:tc>
          <w:tcPr>
            <w:tcW w:w="4891" w:type="dxa"/>
            <w:vMerge/>
            <w:tcBorders>
              <w:top w:val="single" w:sz="8" w:space="0" w:color="auto"/>
              <w:left w:val="nil"/>
              <w:bottom w:val="single" w:sz="8" w:space="0" w:color="000000"/>
              <w:right w:val="single" w:sz="8" w:space="0" w:color="auto"/>
            </w:tcBorders>
            <w:vAlign w:val="center"/>
            <w:hideMark/>
          </w:tcPr>
          <w:p w:rsidR="004F48BD" w:rsidRPr="00177EBF" w:rsidRDefault="004F48BD" w:rsidP="004F48BD">
            <w:pPr>
              <w:rPr>
                <w:b/>
                <w:bCs/>
                <w:color w:val="FFFFFF"/>
                <w:sz w:val="18"/>
                <w:szCs w:val="20"/>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4F48BD" w:rsidRPr="00177EBF" w:rsidRDefault="004F48BD" w:rsidP="004F48BD">
            <w:pPr>
              <w:rPr>
                <w:b/>
                <w:bCs/>
                <w:color w:val="FFFFFF"/>
                <w:sz w:val="18"/>
                <w:szCs w:val="20"/>
              </w:rPr>
            </w:pPr>
          </w:p>
        </w:tc>
        <w:tc>
          <w:tcPr>
            <w:tcW w:w="958" w:type="dxa"/>
            <w:vMerge/>
            <w:tcBorders>
              <w:top w:val="single" w:sz="8" w:space="0" w:color="auto"/>
              <w:left w:val="single" w:sz="8" w:space="0" w:color="auto"/>
              <w:bottom w:val="single" w:sz="8" w:space="0" w:color="000000"/>
              <w:right w:val="single" w:sz="8" w:space="0" w:color="auto"/>
            </w:tcBorders>
            <w:vAlign w:val="center"/>
            <w:hideMark/>
          </w:tcPr>
          <w:p w:rsidR="004F48BD" w:rsidRPr="00177EBF" w:rsidRDefault="004F48BD" w:rsidP="004F48BD">
            <w:pPr>
              <w:rPr>
                <w:b/>
                <w:bCs/>
                <w:color w:val="FFFFFF"/>
                <w:sz w:val="18"/>
                <w:szCs w:val="20"/>
              </w:rPr>
            </w:pPr>
          </w:p>
        </w:tc>
        <w:tc>
          <w:tcPr>
            <w:tcW w:w="984" w:type="dxa"/>
            <w:tcBorders>
              <w:top w:val="nil"/>
              <w:left w:val="nil"/>
              <w:bottom w:val="single" w:sz="8" w:space="0" w:color="auto"/>
              <w:right w:val="single" w:sz="8" w:space="0" w:color="auto"/>
            </w:tcBorders>
            <w:shd w:val="clear" w:color="000000" w:fill="1F497D"/>
            <w:vAlign w:val="center"/>
            <w:hideMark/>
          </w:tcPr>
          <w:p w:rsidR="004F48BD" w:rsidRPr="00177EBF" w:rsidRDefault="004F48BD" w:rsidP="004F48BD">
            <w:pPr>
              <w:jc w:val="center"/>
              <w:rPr>
                <w:b/>
                <w:bCs/>
                <w:color w:val="FFFFFF"/>
                <w:sz w:val="18"/>
                <w:szCs w:val="20"/>
              </w:rPr>
            </w:pPr>
            <w:r w:rsidRPr="00177EBF">
              <w:rPr>
                <w:b/>
                <w:bCs/>
                <w:color w:val="FFFFFF"/>
                <w:sz w:val="18"/>
                <w:szCs w:val="20"/>
              </w:rPr>
              <w:t>Absoluta</w:t>
            </w:r>
          </w:p>
        </w:tc>
        <w:tc>
          <w:tcPr>
            <w:tcW w:w="958" w:type="dxa"/>
            <w:tcBorders>
              <w:top w:val="nil"/>
              <w:left w:val="nil"/>
              <w:bottom w:val="single" w:sz="8" w:space="0" w:color="auto"/>
              <w:right w:val="nil"/>
            </w:tcBorders>
            <w:shd w:val="clear" w:color="000000" w:fill="1F497D"/>
            <w:vAlign w:val="center"/>
            <w:hideMark/>
          </w:tcPr>
          <w:p w:rsidR="004F48BD" w:rsidRPr="00177EBF" w:rsidRDefault="004F48BD" w:rsidP="004F48BD">
            <w:pPr>
              <w:jc w:val="center"/>
              <w:rPr>
                <w:b/>
                <w:bCs/>
                <w:color w:val="FFFFFF"/>
                <w:sz w:val="18"/>
                <w:szCs w:val="20"/>
              </w:rPr>
            </w:pPr>
            <w:r w:rsidRPr="00177EBF">
              <w:rPr>
                <w:b/>
                <w:bCs/>
                <w:color w:val="FFFFFF"/>
                <w:sz w:val="18"/>
                <w:szCs w:val="20"/>
              </w:rPr>
              <w:t>Relativa</w:t>
            </w:r>
          </w:p>
        </w:tc>
      </w:tr>
      <w:tr w:rsidR="004F48BD" w:rsidRPr="00137200" w:rsidTr="004F48BD">
        <w:trPr>
          <w:trHeight w:val="334"/>
        </w:trPr>
        <w:tc>
          <w:tcPr>
            <w:tcW w:w="4891" w:type="dxa"/>
            <w:tcBorders>
              <w:top w:val="nil"/>
              <w:left w:val="nil"/>
              <w:bottom w:val="single" w:sz="8" w:space="0" w:color="auto"/>
              <w:right w:val="single" w:sz="8" w:space="0" w:color="auto"/>
            </w:tcBorders>
            <w:shd w:val="clear" w:color="000000" w:fill="1F497D"/>
            <w:vAlign w:val="center"/>
            <w:hideMark/>
          </w:tcPr>
          <w:p w:rsidR="004F48BD" w:rsidRPr="00177EBF" w:rsidRDefault="004F48BD" w:rsidP="004F48BD">
            <w:pPr>
              <w:ind w:firstLineChars="100" w:firstLine="181"/>
              <w:rPr>
                <w:b/>
                <w:bCs/>
                <w:color w:val="FFFFFF"/>
                <w:sz w:val="18"/>
                <w:szCs w:val="20"/>
              </w:rPr>
            </w:pPr>
            <w:r w:rsidRPr="00137200">
              <w:rPr>
                <w:b/>
                <w:bCs/>
                <w:color w:val="FFFFFF"/>
                <w:sz w:val="18"/>
                <w:szCs w:val="20"/>
              </w:rPr>
              <w:t>Impuestos asociados al Comercio Exterior</w:t>
            </w:r>
          </w:p>
        </w:tc>
        <w:tc>
          <w:tcPr>
            <w:tcW w:w="958" w:type="dxa"/>
            <w:tcBorders>
              <w:top w:val="nil"/>
              <w:left w:val="nil"/>
              <w:bottom w:val="single" w:sz="8" w:space="0" w:color="auto"/>
              <w:right w:val="single" w:sz="8" w:space="0" w:color="auto"/>
            </w:tcBorders>
            <w:shd w:val="clear" w:color="000000" w:fill="1F497D"/>
            <w:vAlign w:val="center"/>
            <w:hideMark/>
          </w:tcPr>
          <w:p w:rsidR="004F48BD" w:rsidRPr="00177EBF" w:rsidRDefault="004F48BD" w:rsidP="004F48BD">
            <w:pPr>
              <w:jc w:val="right"/>
              <w:rPr>
                <w:b/>
                <w:bCs/>
                <w:color w:val="FFFFFF"/>
                <w:sz w:val="18"/>
                <w:szCs w:val="20"/>
              </w:rPr>
            </w:pPr>
            <w:r w:rsidRPr="00177EBF">
              <w:rPr>
                <w:b/>
                <w:bCs/>
                <w:color w:val="FFFFFF"/>
                <w:sz w:val="18"/>
                <w:szCs w:val="20"/>
              </w:rPr>
              <w:t>7,037.2</w:t>
            </w:r>
          </w:p>
        </w:tc>
        <w:tc>
          <w:tcPr>
            <w:tcW w:w="958" w:type="dxa"/>
            <w:tcBorders>
              <w:top w:val="nil"/>
              <w:left w:val="nil"/>
              <w:bottom w:val="single" w:sz="8" w:space="0" w:color="auto"/>
              <w:right w:val="single" w:sz="8" w:space="0" w:color="auto"/>
            </w:tcBorders>
            <w:shd w:val="clear" w:color="000000" w:fill="1F497D"/>
            <w:vAlign w:val="center"/>
            <w:hideMark/>
          </w:tcPr>
          <w:p w:rsidR="004F48BD" w:rsidRPr="00177EBF" w:rsidRDefault="004F48BD" w:rsidP="004F48BD">
            <w:pPr>
              <w:jc w:val="right"/>
              <w:rPr>
                <w:b/>
                <w:bCs/>
                <w:color w:val="FFFFFF"/>
                <w:sz w:val="18"/>
                <w:szCs w:val="20"/>
              </w:rPr>
            </w:pPr>
            <w:r w:rsidRPr="00177EBF">
              <w:rPr>
                <w:b/>
                <w:bCs/>
                <w:color w:val="FFFFFF"/>
                <w:sz w:val="18"/>
                <w:szCs w:val="20"/>
              </w:rPr>
              <w:t>7,042.7</w:t>
            </w:r>
          </w:p>
        </w:tc>
        <w:tc>
          <w:tcPr>
            <w:tcW w:w="984" w:type="dxa"/>
            <w:tcBorders>
              <w:top w:val="nil"/>
              <w:left w:val="nil"/>
              <w:bottom w:val="single" w:sz="8" w:space="0" w:color="auto"/>
              <w:right w:val="single" w:sz="8" w:space="0" w:color="auto"/>
            </w:tcBorders>
            <w:shd w:val="clear" w:color="000000" w:fill="1F497D"/>
            <w:vAlign w:val="center"/>
            <w:hideMark/>
          </w:tcPr>
          <w:p w:rsidR="004F48BD" w:rsidRPr="00177EBF" w:rsidRDefault="004F48BD" w:rsidP="004F48BD">
            <w:pPr>
              <w:jc w:val="right"/>
              <w:rPr>
                <w:b/>
                <w:bCs/>
                <w:color w:val="FFFFFF"/>
                <w:sz w:val="18"/>
                <w:szCs w:val="20"/>
              </w:rPr>
            </w:pPr>
            <w:r w:rsidRPr="00177EBF">
              <w:rPr>
                <w:b/>
                <w:bCs/>
                <w:color w:val="FFFFFF"/>
                <w:sz w:val="18"/>
                <w:szCs w:val="20"/>
              </w:rPr>
              <w:t>5.5</w:t>
            </w:r>
          </w:p>
        </w:tc>
        <w:tc>
          <w:tcPr>
            <w:tcW w:w="958" w:type="dxa"/>
            <w:tcBorders>
              <w:top w:val="nil"/>
              <w:left w:val="nil"/>
              <w:bottom w:val="single" w:sz="8" w:space="0" w:color="auto"/>
              <w:right w:val="nil"/>
            </w:tcBorders>
            <w:shd w:val="clear" w:color="000000" w:fill="1F497D"/>
            <w:vAlign w:val="center"/>
            <w:hideMark/>
          </w:tcPr>
          <w:p w:rsidR="004F48BD" w:rsidRPr="00177EBF" w:rsidRDefault="004F48BD" w:rsidP="004F48BD">
            <w:pPr>
              <w:jc w:val="right"/>
              <w:rPr>
                <w:b/>
                <w:bCs/>
                <w:color w:val="FFFFFF"/>
                <w:sz w:val="18"/>
                <w:szCs w:val="20"/>
              </w:rPr>
            </w:pPr>
            <w:r w:rsidRPr="00177EBF">
              <w:rPr>
                <w:b/>
                <w:bCs/>
                <w:color w:val="FFFFFF"/>
                <w:sz w:val="18"/>
                <w:szCs w:val="20"/>
              </w:rPr>
              <w:t>0.1%</w:t>
            </w:r>
          </w:p>
        </w:tc>
      </w:tr>
      <w:tr w:rsidR="004F48BD" w:rsidRPr="00137200" w:rsidTr="004F48BD">
        <w:trPr>
          <w:trHeight w:val="236"/>
        </w:trPr>
        <w:tc>
          <w:tcPr>
            <w:tcW w:w="4891" w:type="dxa"/>
            <w:tcBorders>
              <w:top w:val="nil"/>
              <w:left w:val="nil"/>
              <w:bottom w:val="nil"/>
              <w:right w:val="nil"/>
            </w:tcBorders>
            <w:shd w:val="clear" w:color="000000" w:fill="F2F2F2"/>
            <w:vAlign w:val="center"/>
            <w:hideMark/>
          </w:tcPr>
          <w:p w:rsidR="004F48BD" w:rsidRPr="00177EBF" w:rsidRDefault="004F48BD" w:rsidP="004F48BD">
            <w:pPr>
              <w:rPr>
                <w:sz w:val="18"/>
                <w:szCs w:val="20"/>
              </w:rPr>
            </w:pPr>
            <w:r w:rsidRPr="00177EBF">
              <w:rPr>
                <w:sz w:val="18"/>
                <w:szCs w:val="20"/>
              </w:rPr>
              <w:t>Impuesto al Valor Agregado Importaciones</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6,089.2</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5,964.3</w:t>
            </w:r>
          </w:p>
        </w:tc>
        <w:tc>
          <w:tcPr>
            <w:tcW w:w="984" w:type="dxa"/>
            <w:tcBorders>
              <w:top w:val="single" w:sz="8" w:space="0" w:color="auto"/>
              <w:left w:val="single" w:sz="8" w:space="0" w:color="auto"/>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-124.8</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-2.1%</w:t>
            </w:r>
          </w:p>
        </w:tc>
      </w:tr>
      <w:tr w:rsidR="004F48BD" w:rsidRPr="00137200" w:rsidTr="004F48BD">
        <w:trPr>
          <w:trHeight w:val="236"/>
        </w:trPr>
        <w:tc>
          <w:tcPr>
            <w:tcW w:w="4891" w:type="dxa"/>
            <w:tcBorders>
              <w:top w:val="nil"/>
              <w:left w:val="nil"/>
              <w:bottom w:val="single" w:sz="8" w:space="0" w:color="auto"/>
              <w:right w:val="nil"/>
            </w:tcBorders>
            <w:shd w:val="clear" w:color="000000" w:fill="F2F2F2"/>
            <w:vAlign w:val="center"/>
            <w:hideMark/>
          </w:tcPr>
          <w:p w:rsidR="004F48BD" w:rsidRPr="00177EBF" w:rsidRDefault="004F48BD" w:rsidP="004F48BD">
            <w:pPr>
              <w:rPr>
                <w:sz w:val="18"/>
                <w:szCs w:val="20"/>
              </w:rPr>
            </w:pPr>
            <w:r w:rsidRPr="00177EBF">
              <w:rPr>
                <w:sz w:val="18"/>
                <w:szCs w:val="20"/>
              </w:rPr>
              <w:t>Derechos Arancelarios a la Importación</w:t>
            </w:r>
          </w:p>
        </w:tc>
        <w:tc>
          <w:tcPr>
            <w:tcW w:w="958" w:type="dxa"/>
            <w:tcBorders>
              <w:top w:val="nil"/>
              <w:left w:val="single" w:sz="8" w:space="0" w:color="auto"/>
              <w:bottom w:val="single" w:sz="8" w:space="0" w:color="auto"/>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948.0</w:t>
            </w:r>
          </w:p>
        </w:tc>
        <w:tc>
          <w:tcPr>
            <w:tcW w:w="958" w:type="dxa"/>
            <w:tcBorders>
              <w:top w:val="nil"/>
              <w:left w:val="nil"/>
              <w:bottom w:val="single" w:sz="8" w:space="0" w:color="auto"/>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1,078.4</w:t>
            </w:r>
          </w:p>
        </w:tc>
        <w:tc>
          <w:tcPr>
            <w:tcW w:w="984" w:type="dxa"/>
            <w:tcBorders>
              <w:top w:val="nil"/>
              <w:left w:val="nil"/>
              <w:bottom w:val="single" w:sz="8" w:space="0" w:color="auto"/>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130.4</w:t>
            </w:r>
          </w:p>
        </w:tc>
        <w:tc>
          <w:tcPr>
            <w:tcW w:w="958" w:type="dxa"/>
            <w:tcBorders>
              <w:top w:val="nil"/>
              <w:left w:val="nil"/>
              <w:bottom w:val="single" w:sz="8" w:space="0" w:color="auto"/>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13.7%</w:t>
            </w:r>
          </w:p>
        </w:tc>
      </w:tr>
      <w:tr w:rsidR="004F48BD" w:rsidRPr="00137200" w:rsidTr="004F48BD">
        <w:trPr>
          <w:trHeight w:val="334"/>
        </w:trPr>
        <w:tc>
          <w:tcPr>
            <w:tcW w:w="4891" w:type="dxa"/>
            <w:tcBorders>
              <w:top w:val="nil"/>
              <w:left w:val="nil"/>
              <w:bottom w:val="single" w:sz="8" w:space="0" w:color="auto"/>
              <w:right w:val="single" w:sz="8" w:space="0" w:color="auto"/>
            </w:tcBorders>
            <w:shd w:val="clear" w:color="000000" w:fill="1F497D"/>
            <w:vAlign w:val="center"/>
            <w:hideMark/>
          </w:tcPr>
          <w:p w:rsidR="004F48BD" w:rsidRPr="00177EBF" w:rsidRDefault="004F48BD" w:rsidP="004F48BD">
            <w:pPr>
              <w:ind w:firstLineChars="100" w:firstLine="181"/>
              <w:rPr>
                <w:b/>
                <w:bCs/>
                <w:color w:val="FFFFFF"/>
                <w:sz w:val="18"/>
                <w:szCs w:val="20"/>
              </w:rPr>
            </w:pPr>
            <w:r w:rsidRPr="00137200">
              <w:rPr>
                <w:b/>
                <w:bCs/>
                <w:color w:val="FFFFFF"/>
                <w:sz w:val="18"/>
                <w:szCs w:val="20"/>
              </w:rPr>
              <w:t>Impuestos Internos</w:t>
            </w:r>
          </w:p>
        </w:tc>
        <w:tc>
          <w:tcPr>
            <w:tcW w:w="958" w:type="dxa"/>
            <w:tcBorders>
              <w:top w:val="single" w:sz="8" w:space="0" w:color="auto"/>
              <w:left w:val="nil"/>
              <w:bottom w:val="single" w:sz="8" w:space="0" w:color="auto"/>
              <w:right w:val="single" w:sz="8" w:space="0" w:color="auto"/>
            </w:tcBorders>
            <w:shd w:val="clear" w:color="000000" w:fill="1F497D"/>
            <w:vAlign w:val="center"/>
            <w:hideMark/>
          </w:tcPr>
          <w:p w:rsidR="004F48BD" w:rsidRPr="00177EBF" w:rsidRDefault="004F48BD" w:rsidP="004F48BD">
            <w:pPr>
              <w:jc w:val="right"/>
              <w:rPr>
                <w:b/>
                <w:bCs/>
                <w:color w:val="FFFFFF"/>
                <w:sz w:val="18"/>
                <w:szCs w:val="20"/>
              </w:rPr>
            </w:pPr>
            <w:r w:rsidRPr="00177EBF">
              <w:rPr>
                <w:b/>
                <w:bCs/>
                <w:color w:val="FFFFFF"/>
                <w:sz w:val="18"/>
                <w:szCs w:val="20"/>
              </w:rPr>
              <w:t>17,455.4</w:t>
            </w:r>
          </w:p>
        </w:tc>
        <w:tc>
          <w:tcPr>
            <w:tcW w:w="958" w:type="dxa"/>
            <w:tcBorders>
              <w:top w:val="single" w:sz="8" w:space="0" w:color="auto"/>
              <w:left w:val="nil"/>
              <w:bottom w:val="single" w:sz="8" w:space="0" w:color="auto"/>
              <w:right w:val="single" w:sz="8" w:space="0" w:color="auto"/>
            </w:tcBorders>
            <w:shd w:val="clear" w:color="000000" w:fill="1F497D"/>
            <w:vAlign w:val="center"/>
            <w:hideMark/>
          </w:tcPr>
          <w:p w:rsidR="004F48BD" w:rsidRPr="00177EBF" w:rsidRDefault="004F48BD" w:rsidP="004F48BD">
            <w:pPr>
              <w:jc w:val="right"/>
              <w:rPr>
                <w:b/>
                <w:bCs/>
                <w:color w:val="FFFFFF"/>
                <w:sz w:val="18"/>
                <w:szCs w:val="20"/>
              </w:rPr>
            </w:pPr>
            <w:r w:rsidRPr="00177EBF">
              <w:rPr>
                <w:b/>
                <w:bCs/>
                <w:color w:val="FFFFFF"/>
                <w:sz w:val="18"/>
                <w:szCs w:val="20"/>
              </w:rPr>
              <w:t>19,043.3</w:t>
            </w:r>
          </w:p>
        </w:tc>
        <w:tc>
          <w:tcPr>
            <w:tcW w:w="984" w:type="dxa"/>
            <w:tcBorders>
              <w:top w:val="nil"/>
              <w:left w:val="nil"/>
              <w:bottom w:val="single" w:sz="8" w:space="0" w:color="auto"/>
              <w:right w:val="single" w:sz="8" w:space="0" w:color="auto"/>
            </w:tcBorders>
            <w:shd w:val="clear" w:color="000000" w:fill="1F497D"/>
            <w:vAlign w:val="center"/>
            <w:hideMark/>
          </w:tcPr>
          <w:p w:rsidR="004F48BD" w:rsidRPr="00177EBF" w:rsidRDefault="004F48BD" w:rsidP="004F48BD">
            <w:pPr>
              <w:jc w:val="right"/>
              <w:rPr>
                <w:b/>
                <w:bCs/>
                <w:color w:val="FFFFFF"/>
                <w:sz w:val="18"/>
                <w:szCs w:val="20"/>
              </w:rPr>
            </w:pPr>
            <w:r w:rsidRPr="00177EBF">
              <w:rPr>
                <w:b/>
                <w:bCs/>
                <w:color w:val="FFFFFF"/>
                <w:sz w:val="18"/>
                <w:szCs w:val="20"/>
              </w:rPr>
              <w:t>1,587.9</w:t>
            </w:r>
          </w:p>
        </w:tc>
        <w:tc>
          <w:tcPr>
            <w:tcW w:w="958" w:type="dxa"/>
            <w:tcBorders>
              <w:top w:val="nil"/>
              <w:left w:val="nil"/>
              <w:bottom w:val="single" w:sz="8" w:space="0" w:color="auto"/>
              <w:right w:val="nil"/>
            </w:tcBorders>
            <w:shd w:val="clear" w:color="000000" w:fill="1F497D"/>
            <w:vAlign w:val="center"/>
            <w:hideMark/>
          </w:tcPr>
          <w:p w:rsidR="004F48BD" w:rsidRPr="00177EBF" w:rsidRDefault="004F48BD" w:rsidP="004F48BD">
            <w:pPr>
              <w:jc w:val="right"/>
              <w:rPr>
                <w:b/>
                <w:bCs/>
                <w:color w:val="FFFFFF"/>
                <w:sz w:val="18"/>
                <w:szCs w:val="20"/>
              </w:rPr>
            </w:pPr>
            <w:r w:rsidRPr="00177EBF">
              <w:rPr>
                <w:b/>
                <w:bCs/>
                <w:color w:val="FFFFFF"/>
                <w:sz w:val="18"/>
                <w:szCs w:val="20"/>
              </w:rPr>
              <w:t>9.1%</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Sobre la Renta</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6,826.9</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7,725.0</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898.1</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13.2%</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Sobre Inmuebles y Otros sobre el Patrimonio</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8.8</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10.7</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2.0</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22.5%</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A las Empresas Mercantiles y Agropecuarias</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0.0</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0.9</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0.9</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4933.2%</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Extraordinario y Temporal de Apoyo a los Acuerdos de Paz</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0.7</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0.5</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-0.2</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-29.7%</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 xml:space="preserve">Impuesto de Solidaridad </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1,931.0</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2,038.2</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107.2</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5.6%</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Impuesto al Valor Agregado Doméstico</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5,431.9</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5,904.0</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472.2</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8.7%</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Distribución de Petróleo y sus Derivados</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1,443.2</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1,616.3</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173.1</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12.0%</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Timbres Fiscales</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171.4</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175.9</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4.5</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2.6%</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Circulación de Vehículos</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300.2</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342.8</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42.6</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14.2%</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Impuesto a la Primera Matrícula</w:t>
            </w:r>
            <w:r>
              <w:rPr>
                <w:sz w:val="18"/>
                <w:szCs w:val="20"/>
              </w:rPr>
              <w:t xml:space="preserve"> de Vehículos Automotores</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425.0</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458.0</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33.0</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7.8%</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Regalías e Hidrocarburos compartibles</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104.3</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53.4</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-50.9</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-48.8%</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Salidas del País</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112.7</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106.0</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-6.7</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-6.0%</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Distribución de Bebidas</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344.0</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371.5</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27.5</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8.0%</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Tabacos</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186.9</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182.0</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-4.9</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-2.6%</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Distribución de Cemento</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166.4</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55.3</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-111.1</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-66.8%</w:t>
            </w:r>
          </w:p>
        </w:tc>
      </w:tr>
      <w:tr w:rsidR="004F48BD" w:rsidRPr="00137200" w:rsidTr="004F48BD">
        <w:trPr>
          <w:trHeight w:val="236"/>
        </w:trPr>
        <w:tc>
          <w:tcPr>
            <w:tcW w:w="4891" w:type="dxa"/>
            <w:tcBorders>
              <w:top w:val="nil"/>
              <w:left w:val="nil"/>
              <w:bottom w:val="nil"/>
              <w:right w:val="single" w:sz="8" w:space="0" w:color="auto"/>
            </w:tcBorders>
            <w:shd w:val="clear" w:color="000000" w:fill="F2F2F2"/>
            <w:vAlign w:val="center"/>
            <w:hideMark/>
          </w:tcPr>
          <w:p w:rsidR="004F48BD" w:rsidRPr="00177EBF" w:rsidRDefault="004F48BD" w:rsidP="004F48BD">
            <w:pPr>
              <w:rPr>
                <w:sz w:val="18"/>
                <w:szCs w:val="20"/>
              </w:rPr>
            </w:pPr>
            <w:r w:rsidRPr="00177EBF">
              <w:rPr>
                <w:sz w:val="18"/>
                <w:szCs w:val="20"/>
              </w:rPr>
              <w:t>Otros</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2.0</w:t>
            </w:r>
          </w:p>
        </w:tc>
        <w:tc>
          <w:tcPr>
            <w:tcW w:w="958"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2.8</w:t>
            </w:r>
          </w:p>
        </w:tc>
        <w:tc>
          <w:tcPr>
            <w:tcW w:w="984" w:type="dxa"/>
            <w:tcBorders>
              <w:top w:val="nil"/>
              <w:left w:val="nil"/>
              <w:bottom w:val="nil"/>
              <w:right w:val="single" w:sz="8" w:space="0" w:color="auto"/>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0.8</w:t>
            </w:r>
          </w:p>
        </w:tc>
        <w:tc>
          <w:tcPr>
            <w:tcW w:w="958" w:type="dxa"/>
            <w:tcBorders>
              <w:top w:val="nil"/>
              <w:left w:val="nil"/>
              <w:bottom w:val="nil"/>
              <w:right w:val="nil"/>
            </w:tcBorders>
            <w:shd w:val="clear" w:color="000000" w:fill="F2F2F2"/>
            <w:vAlign w:val="center"/>
            <w:hideMark/>
          </w:tcPr>
          <w:p w:rsidR="004F48BD" w:rsidRPr="00177EBF" w:rsidRDefault="004F48BD" w:rsidP="004F48BD">
            <w:pPr>
              <w:jc w:val="right"/>
              <w:rPr>
                <w:color w:val="000000"/>
                <w:sz w:val="18"/>
                <w:szCs w:val="20"/>
              </w:rPr>
            </w:pPr>
            <w:r w:rsidRPr="00177EBF">
              <w:rPr>
                <w:color w:val="000000"/>
                <w:sz w:val="18"/>
                <w:szCs w:val="20"/>
              </w:rPr>
              <w:t>39.4%</w:t>
            </w:r>
          </w:p>
        </w:tc>
      </w:tr>
      <w:tr w:rsidR="004F48BD" w:rsidRPr="00137200" w:rsidTr="004F48BD">
        <w:trPr>
          <w:trHeight w:val="334"/>
        </w:trPr>
        <w:tc>
          <w:tcPr>
            <w:tcW w:w="4891" w:type="dxa"/>
            <w:tcBorders>
              <w:top w:val="single" w:sz="8" w:space="0" w:color="auto"/>
              <w:left w:val="nil"/>
              <w:bottom w:val="single" w:sz="8" w:space="0" w:color="auto"/>
              <w:right w:val="single" w:sz="8" w:space="0" w:color="auto"/>
            </w:tcBorders>
            <w:shd w:val="clear" w:color="000000" w:fill="1F497D"/>
            <w:vAlign w:val="center"/>
            <w:hideMark/>
          </w:tcPr>
          <w:p w:rsidR="004F48BD" w:rsidRPr="00177EBF" w:rsidRDefault="004F48BD" w:rsidP="004F48BD">
            <w:pPr>
              <w:ind w:firstLineChars="100" w:firstLine="181"/>
              <w:rPr>
                <w:b/>
                <w:bCs/>
                <w:color w:val="FFFFFF"/>
                <w:sz w:val="18"/>
                <w:szCs w:val="20"/>
              </w:rPr>
            </w:pPr>
            <w:r w:rsidRPr="00137200">
              <w:rPr>
                <w:b/>
                <w:bCs/>
                <w:color w:val="FFFFFF"/>
                <w:sz w:val="18"/>
                <w:szCs w:val="20"/>
              </w:rPr>
              <w:t>Total de Ingresos Tributarios</w:t>
            </w:r>
          </w:p>
        </w:tc>
        <w:tc>
          <w:tcPr>
            <w:tcW w:w="958" w:type="dxa"/>
            <w:tcBorders>
              <w:top w:val="single" w:sz="8" w:space="0" w:color="auto"/>
              <w:left w:val="nil"/>
              <w:bottom w:val="single" w:sz="8" w:space="0" w:color="auto"/>
              <w:right w:val="single" w:sz="8" w:space="0" w:color="auto"/>
            </w:tcBorders>
            <w:shd w:val="clear" w:color="000000" w:fill="1F497D"/>
            <w:vAlign w:val="center"/>
            <w:hideMark/>
          </w:tcPr>
          <w:p w:rsidR="004F48BD" w:rsidRPr="00177EBF" w:rsidRDefault="004F48BD" w:rsidP="004F48BD">
            <w:pPr>
              <w:jc w:val="right"/>
              <w:rPr>
                <w:b/>
                <w:bCs/>
                <w:color w:val="FFFFFF"/>
                <w:sz w:val="18"/>
                <w:szCs w:val="20"/>
              </w:rPr>
            </w:pPr>
            <w:r w:rsidRPr="00177EBF">
              <w:rPr>
                <w:b/>
                <w:bCs/>
                <w:color w:val="FFFFFF"/>
                <w:sz w:val="18"/>
                <w:szCs w:val="20"/>
              </w:rPr>
              <w:t>24,492.6</w:t>
            </w:r>
          </w:p>
        </w:tc>
        <w:tc>
          <w:tcPr>
            <w:tcW w:w="958" w:type="dxa"/>
            <w:tcBorders>
              <w:top w:val="single" w:sz="8" w:space="0" w:color="auto"/>
              <w:left w:val="nil"/>
              <w:bottom w:val="single" w:sz="8" w:space="0" w:color="auto"/>
              <w:right w:val="single" w:sz="8" w:space="0" w:color="auto"/>
            </w:tcBorders>
            <w:shd w:val="clear" w:color="000000" w:fill="1F497D"/>
            <w:vAlign w:val="center"/>
            <w:hideMark/>
          </w:tcPr>
          <w:p w:rsidR="004F48BD" w:rsidRPr="00177EBF" w:rsidRDefault="004F48BD" w:rsidP="004F48BD">
            <w:pPr>
              <w:jc w:val="right"/>
              <w:rPr>
                <w:b/>
                <w:bCs/>
                <w:color w:val="FFFFFF"/>
                <w:sz w:val="18"/>
                <w:szCs w:val="20"/>
              </w:rPr>
            </w:pPr>
            <w:r w:rsidRPr="00177EBF">
              <w:rPr>
                <w:b/>
                <w:bCs/>
                <w:color w:val="FFFFFF"/>
                <w:sz w:val="18"/>
                <w:szCs w:val="20"/>
              </w:rPr>
              <w:t>26,086.0</w:t>
            </w:r>
          </w:p>
        </w:tc>
        <w:tc>
          <w:tcPr>
            <w:tcW w:w="984" w:type="dxa"/>
            <w:tcBorders>
              <w:top w:val="single" w:sz="8" w:space="0" w:color="auto"/>
              <w:left w:val="nil"/>
              <w:bottom w:val="single" w:sz="8" w:space="0" w:color="auto"/>
              <w:right w:val="single" w:sz="8" w:space="0" w:color="auto"/>
            </w:tcBorders>
            <w:shd w:val="clear" w:color="000000" w:fill="1F497D"/>
            <w:vAlign w:val="center"/>
            <w:hideMark/>
          </w:tcPr>
          <w:p w:rsidR="004F48BD" w:rsidRPr="00177EBF" w:rsidRDefault="004F48BD" w:rsidP="004F48BD">
            <w:pPr>
              <w:jc w:val="right"/>
              <w:rPr>
                <w:b/>
                <w:bCs/>
                <w:color w:val="FFFFFF"/>
                <w:sz w:val="18"/>
                <w:szCs w:val="20"/>
              </w:rPr>
            </w:pPr>
            <w:r w:rsidRPr="00177EBF">
              <w:rPr>
                <w:b/>
                <w:bCs/>
                <w:color w:val="FFFFFF"/>
                <w:sz w:val="18"/>
                <w:szCs w:val="20"/>
              </w:rPr>
              <w:t>1,593.4</w:t>
            </w:r>
          </w:p>
        </w:tc>
        <w:tc>
          <w:tcPr>
            <w:tcW w:w="958" w:type="dxa"/>
            <w:tcBorders>
              <w:top w:val="single" w:sz="8" w:space="0" w:color="auto"/>
              <w:left w:val="nil"/>
              <w:bottom w:val="single" w:sz="8" w:space="0" w:color="auto"/>
              <w:right w:val="nil"/>
            </w:tcBorders>
            <w:shd w:val="clear" w:color="000000" w:fill="1F497D"/>
            <w:vAlign w:val="center"/>
            <w:hideMark/>
          </w:tcPr>
          <w:p w:rsidR="004F48BD" w:rsidRPr="00177EBF" w:rsidRDefault="004F48BD" w:rsidP="004F48BD">
            <w:pPr>
              <w:jc w:val="right"/>
              <w:rPr>
                <w:b/>
                <w:bCs/>
                <w:color w:val="FFFFFF"/>
                <w:sz w:val="18"/>
                <w:szCs w:val="20"/>
              </w:rPr>
            </w:pPr>
            <w:r w:rsidRPr="00177EBF">
              <w:rPr>
                <w:b/>
                <w:bCs/>
                <w:color w:val="FFFFFF"/>
                <w:sz w:val="18"/>
                <w:szCs w:val="20"/>
              </w:rPr>
              <w:t>6.5%</w:t>
            </w:r>
          </w:p>
        </w:tc>
      </w:tr>
    </w:tbl>
    <w:p w:rsidR="004F48BD" w:rsidRPr="00B13B5D" w:rsidRDefault="004F48BD" w:rsidP="004F48BD">
      <w:pPr>
        <w:jc w:val="center"/>
        <w:rPr>
          <w:b/>
          <w:sz w:val="6"/>
          <w:lang w:val="es-MX"/>
        </w:rPr>
      </w:pPr>
    </w:p>
    <w:p w:rsidR="004F48BD" w:rsidRPr="00A6415B" w:rsidRDefault="004F48BD" w:rsidP="004F48BD">
      <w:pPr>
        <w:autoSpaceDE w:val="0"/>
        <w:autoSpaceDN w:val="0"/>
        <w:adjustRightInd w:val="0"/>
        <w:jc w:val="both"/>
        <w:rPr>
          <w:sz w:val="16"/>
          <w:szCs w:val="18"/>
        </w:rPr>
      </w:pPr>
      <w:r w:rsidRPr="00A6415B">
        <w:rPr>
          <w:sz w:val="16"/>
          <w:szCs w:val="18"/>
        </w:rPr>
        <w:t>Fuente: Ministerio de Finanzas Públicas con base al SICOIN.</w:t>
      </w:r>
    </w:p>
    <w:p w:rsidR="004F48BD" w:rsidRPr="00A6415B" w:rsidRDefault="004F48BD" w:rsidP="004F48BD">
      <w:pPr>
        <w:autoSpaceDE w:val="0"/>
        <w:autoSpaceDN w:val="0"/>
        <w:adjustRightInd w:val="0"/>
        <w:jc w:val="both"/>
        <w:rPr>
          <w:sz w:val="16"/>
          <w:szCs w:val="18"/>
        </w:rPr>
      </w:pPr>
      <w:r w:rsidRPr="00A6415B">
        <w:rPr>
          <w:sz w:val="16"/>
          <w:szCs w:val="18"/>
        </w:rPr>
        <w:t>* Cifras preliminares.</w:t>
      </w:r>
    </w:p>
    <w:p w:rsidR="004F48BD" w:rsidRPr="00D91CF1" w:rsidRDefault="004F48BD" w:rsidP="004F48BD">
      <w:pPr>
        <w:autoSpaceDE w:val="0"/>
        <w:autoSpaceDN w:val="0"/>
        <w:adjustRightInd w:val="0"/>
        <w:jc w:val="both"/>
        <w:rPr>
          <w:sz w:val="18"/>
          <w:szCs w:val="18"/>
        </w:rPr>
      </w:pPr>
    </w:p>
    <w:p w:rsidR="004F48BD" w:rsidRDefault="004F48BD" w:rsidP="004F48BD">
      <w:pPr>
        <w:pStyle w:val="Textonotapie"/>
        <w:jc w:val="both"/>
        <w:rPr>
          <w:sz w:val="24"/>
          <w:szCs w:val="24"/>
        </w:rPr>
      </w:pPr>
      <w:r w:rsidRPr="00D603DE">
        <w:rPr>
          <w:sz w:val="24"/>
          <w:szCs w:val="24"/>
        </w:rPr>
        <w:t>A pesar del incremento en el total recaudado, se observan algunas disminuciones en impuestos específicos, como el impuesto a la distribución de cemento, con una reducción del orden de los Q111.1 millones (68.6%)</w:t>
      </w:r>
      <w:r w:rsidRPr="00D603DE">
        <w:rPr>
          <w:sz w:val="24"/>
          <w:szCs w:val="24"/>
        </w:rPr>
        <w:footnoteReference w:id="2"/>
      </w:r>
      <w:r w:rsidRPr="00D603DE">
        <w:rPr>
          <w:sz w:val="24"/>
          <w:szCs w:val="24"/>
        </w:rPr>
        <w:t xml:space="preserve"> y las regalías e hidrocarburos compartibles por Q50.9 </w:t>
      </w:r>
      <w:r w:rsidRPr="00D603DE">
        <w:rPr>
          <w:sz w:val="24"/>
          <w:szCs w:val="24"/>
        </w:rPr>
        <w:lastRenderedPageBreak/>
        <w:t>millones (48.8%)</w:t>
      </w:r>
      <w:r w:rsidRPr="00D603DE">
        <w:rPr>
          <w:sz w:val="24"/>
          <w:szCs w:val="24"/>
        </w:rPr>
        <w:footnoteReference w:id="3"/>
      </w:r>
      <w:r w:rsidRPr="00D603DE">
        <w:rPr>
          <w:sz w:val="24"/>
          <w:szCs w:val="24"/>
        </w:rPr>
        <w:t>. Lo cual guarda estrecha relación con el descenso de la producción de petróleo crudo nacional durante el año 2015 (3</w:t>
      </w:r>
      <w:r>
        <w:rPr>
          <w:sz w:val="24"/>
          <w:szCs w:val="24"/>
        </w:rPr>
        <w:t>.</w:t>
      </w:r>
      <w:r w:rsidRPr="00D603DE">
        <w:rPr>
          <w:sz w:val="24"/>
          <w:szCs w:val="24"/>
        </w:rPr>
        <w:t>542</w:t>
      </w:r>
      <w:r>
        <w:rPr>
          <w:sz w:val="24"/>
          <w:szCs w:val="24"/>
        </w:rPr>
        <w:t xml:space="preserve"> millones de</w:t>
      </w:r>
      <w:r w:rsidRPr="00D603DE">
        <w:rPr>
          <w:sz w:val="24"/>
          <w:szCs w:val="24"/>
        </w:rPr>
        <w:t xml:space="preserve"> barriles)  en comparación con el año 2014 (3</w:t>
      </w:r>
      <w:r>
        <w:rPr>
          <w:sz w:val="24"/>
          <w:szCs w:val="24"/>
        </w:rPr>
        <w:t>.</w:t>
      </w:r>
      <w:r w:rsidRPr="00D603DE">
        <w:rPr>
          <w:sz w:val="24"/>
          <w:szCs w:val="24"/>
        </w:rPr>
        <w:t>668</w:t>
      </w:r>
      <w:r>
        <w:rPr>
          <w:sz w:val="24"/>
          <w:szCs w:val="24"/>
        </w:rPr>
        <w:t xml:space="preserve"> millones de</w:t>
      </w:r>
      <w:r w:rsidRPr="00D603DE">
        <w:rPr>
          <w:sz w:val="24"/>
          <w:szCs w:val="24"/>
        </w:rPr>
        <w:t xml:space="preserve"> barriles)</w:t>
      </w:r>
      <w:r>
        <w:rPr>
          <w:sz w:val="24"/>
          <w:szCs w:val="24"/>
        </w:rPr>
        <w:t xml:space="preserve"> equivalentes al </w:t>
      </w:r>
      <w:r w:rsidRPr="00D603DE">
        <w:rPr>
          <w:sz w:val="24"/>
          <w:szCs w:val="24"/>
        </w:rPr>
        <w:t>3.4%</w:t>
      </w:r>
      <w:r>
        <w:rPr>
          <w:sz w:val="24"/>
          <w:szCs w:val="24"/>
        </w:rPr>
        <w:t>;</w:t>
      </w:r>
      <w:r w:rsidRPr="00D603DE">
        <w:rPr>
          <w:sz w:val="24"/>
          <w:szCs w:val="24"/>
        </w:rPr>
        <w:t xml:space="preserve"> y </w:t>
      </w:r>
      <w:r>
        <w:rPr>
          <w:sz w:val="24"/>
          <w:szCs w:val="24"/>
        </w:rPr>
        <w:t xml:space="preserve">adicionalmente, </w:t>
      </w:r>
      <w:r w:rsidRPr="00D603DE">
        <w:rPr>
          <w:sz w:val="24"/>
          <w:szCs w:val="24"/>
        </w:rPr>
        <w:t xml:space="preserve">la disminución </w:t>
      </w:r>
      <w:r>
        <w:rPr>
          <w:sz w:val="24"/>
          <w:szCs w:val="24"/>
        </w:rPr>
        <w:t>en</w:t>
      </w:r>
      <w:r w:rsidRPr="00D603DE">
        <w:rPr>
          <w:sz w:val="24"/>
          <w:szCs w:val="24"/>
        </w:rPr>
        <w:t xml:space="preserve"> </w:t>
      </w:r>
      <w:r>
        <w:rPr>
          <w:sz w:val="24"/>
          <w:szCs w:val="24"/>
        </w:rPr>
        <w:t>la extracción de la Mina Marlin (al pasar de 186.5 miles de onzas de oro y 183.8 miles de onzas de plata en 2014 a 168.6 miles de onzas de oro y 169.2 miles de onzas de plata en 2015).</w:t>
      </w:r>
    </w:p>
    <w:p w:rsidR="004F48BD" w:rsidRDefault="004F48BD" w:rsidP="004F48BD">
      <w:pPr>
        <w:jc w:val="both"/>
      </w:pPr>
    </w:p>
    <w:p w:rsidR="004F48BD" w:rsidRDefault="004F48BD" w:rsidP="004F48BD">
      <w:pPr>
        <w:jc w:val="both"/>
      </w:pPr>
      <w:r w:rsidRPr="008E7DDA">
        <w:t>Al observar la recaudación por tipo de impuesto al 30 de junio de 201</w:t>
      </w:r>
      <w:r>
        <w:t>6</w:t>
      </w:r>
      <w:r w:rsidRPr="008E7DDA">
        <w:t xml:space="preserve">, se puede </w:t>
      </w:r>
      <w:r>
        <w:t>observar que la</w:t>
      </w:r>
      <w:r w:rsidRPr="008E7DDA">
        <w:t xml:space="preserve"> estructura tributaria </w:t>
      </w:r>
      <w:r>
        <w:t>tuvo una variación en los impuestos directos, pasando de representar el 35.8% en 2015 al 37.5% en 2016, esto como resultado del aumento en la recaudación del ISR, y las variaciones negativas observadas en el IVA importaciones, Regalías  e Hidrocarburos compartibles y el impuesto sobre distribución de cemento.</w:t>
      </w:r>
    </w:p>
    <w:p w:rsidR="004F48BD" w:rsidRDefault="004F48BD" w:rsidP="004F48BD">
      <w:pPr>
        <w:jc w:val="both"/>
      </w:pPr>
    </w:p>
    <w:p w:rsidR="004F48BD" w:rsidRDefault="004F48BD" w:rsidP="004F48BD">
      <w:pPr>
        <w:rPr>
          <w:b/>
          <w:sz w:val="22"/>
          <w:lang w:val="es-MX"/>
        </w:rPr>
      </w:pPr>
    </w:p>
    <w:p w:rsidR="004F48BD" w:rsidRPr="00AC33DC" w:rsidRDefault="004F48BD" w:rsidP="004F48BD">
      <w:pPr>
        <w:jc w:val="center"/>
        <w:rPr>
          <w:b/>
          <w:sz w:val="22"/>
          <w:lang w:val="es-MX"/>
        </w:rPr>
      </w:pPr>
      <w:r w:rsidRPr="00AC33DC">
        <w:rPr>
          <w:b/>
          <w:sz w:val="22"/>
          <w:lang w:val="es-MX"/>
        </w:rPr>
        <w:t xml:space="preserve">Gráfica </w:t>
      </w:r>
      <w:r>
        <w:rPr>
          <w:b/>
          <w:sz w:val="22"/>
          <w:lang w:val="es-MX"/>
        </w:rPr>
        <w:t xml:space="preserve"> 1</w:t>
      </w:r>
    </w:p>
    <w:p w:rsidR="004F48BD" w:rsidRPr="00AC33DC" w:rsidRDefault="004F48BD" w:rsidP="004F48BD">
      <w:pPr>
        <w:jc w:val="center"/>
        <w:rPr>
          <w:b/>
          <w:sz w:val="22"/>
          <w:lang w:val="es-MX"/>
        </w:rPr>
      </w:pPr>
      <w:r w:rsidRPr="00AC33DC">
        <w:rPr>
          <w:b/>
          <w:sz w:val="22"/>
          <w:lang w:val="es-MX"/>
        </w:rPr>
        <w:t>Estructura Tributaria por Tipo de Impuesto</w:t>
      </w:r>
    </w:p>
    <w:p w:rsidR="004F48BD" w:rsidRPr="004F48BD" w:rsidRDefault="004F48BD" w:rsidP="004F48BD">
      <w:pPr>
        <w:jc w:val="center"/>
        <w:rPr>
          <w:i/>
          <w:sz w:val="22"/>
          <w:lang w:val="es-MX"/>
        </w:rPr>
      </w:pPr>
      <w:r w:rsidRPr="004F48BD">
        <w:rPr>
          <w:i/>
          <w:sz w:val="22"/>
          <w:lang w:val="es-MX"/>
        </w:rPr>
        <w:t>Comparativo al 30 de junio de cada año</w:t>
      </w:r>
    </w:p>
    <w:p w:rsidR="004F48BD" w:rsidRPr="004F48BD" w:rsidRDefault="004F48BD" w:rsidP="004F48BD">
      <w:pPr>
        <w:jc w:val="center"/>
        <w:rPr>
          <w:rFonts w:ascii="Calibri" w:eastAsia="Calibri" w:hAnsi="Calibri"/>
          <w:i/>
          <w:sz w:val="20"/>
          <w:szCs w:val="20"/>
          <w:lang w:val="es-GT" w:eastAsia="es-GT"/>
        </w:rPr>
      </w:pPr>
      <w:r w:rsidRPr="004F48BD">
        <w:rPr>
          <w:i/>
          <w:sz w:val="22"/>
          <w:lang w:val="es-MX"/>
        </w:rPr>
        <w:t>(Cifras en Porcentajes)</w:t>
      </w:r>
      <w:r w:rsidRPr="004F48BD">
        <w:rPr>
          <w:i/>
          <w:lang w:val="es-MX"/>
        </w:rPr>
        <w:fldChar w:fldCharType="begin"/>
      </w:r>
      <w:r w:rsidRPr="004F48BD">
        <w:rPr>
          <w:i/>
          <w:lang w:val="es-MX"/>
        </w:rPr>
        <w:instrText xml:space="preserve"> LINK Excel.Sheet.12 "C:\\Users\\deefoper12\\Documents\\2016\\DEF\\memoria de labores\\Informe junio16.xlsx" "Sit Fin!F5C8:F27C12" \a \f 4 \h  \* MERGEFORMAT </w:instrText>
      </w:r>
      <w:r w:rsidRPr="004F48BD">
        <w:rPr>
          <w:i/>
          <w:lang w:val="es-MX"/>
        </w:rPr>
        <w:fldChar w:fldCharType="separate"/>
      </w:r>
    </w:p>
    <w:p w:rsidR="004F48BD" w:rsidRPr="00AC33DC" w:rsidRDefault="004F48BD" w:rsidP="004F48BD">
      <w:pPr>
        <w:jc w:val="center"/>
        <w:rPr>
          <w:b/>
          <w:sz w:val="22"/>
          <w:lang w:val="es-MX"/>
        </w:rPr>
      </w:pPr>
      <w:r w:rsidRPr="004F48BD">
        <w:rPr>
          <w:i/>
          <w:sz w:val="22"/>
          <w:lang w:val="es-MX"/>
        </w:rPr>
        <w:fldChar w:fldCharType="end"/>
      </w:r>
    </w:p>
    <w:p w:rsidR="004F48BD" w:rsidRPr="008E7DDA" w:rsidRDefault="004F48BD" w:rsidP="004F48BD">
      <w:r>
        <w:rPr>
          <w:noProof/>
          <w:lang w:val="es-GT" w:eastAsia="es-GT"/>
        </w:rPr>
        <w:drawing>
          <wp:inline distT="0" distB="0" distL="0" distR="0" wp14:anchorId="683EBF2A" wp14:editId="4A389356">
            <wp:extent cx="2978150" cy="1809750"/>
            <wp:effectExtent l="0" t="0" r="0" b="0"/>
            <wp:docPr id="5"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sz w:val="20"/>
          <w:lang w:val="es-GT" w:eastAsia="es-GT"/>
        </w:rPr>
        <w:drawing>
          <wp:inline distT="0" distB="0" distL="0" distR="0" wp14:anchorId="7779255A" wp14:editId="7D9AE919">
            <wp:extent cx="2749803" cy="1816100"/>
            <wp:effectExtent l="0" t="0" r="0" b="0"/>
            <wp:docPr id="6"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F48BD" w:rsidRPr="00A6415B" w:rsidRDefault="004F48BD" w:rsidP="004F48BD">
      <w:pPr>
        <w:jc w:val="both"/>
        <w:rPr>
          <w:sz w:val="22"/>
        </w:rPr>
      </w:pPr>
      <w:r w:rsidRPr="00A6415B">
        <w:rPr>
          <w:sz w:val="16"/>
          <w:szCs w:val="18"/>
        </w:rPr>
        <w:t>Fuente: Ministerio de Finanzas Públicas con base al SICOIN.</w:t>
      </w:r>
    </w:p>
    <w:p w:rsidR="004F48BD" w:rsidRPr="00A6415B" w:rsidRDefault="004F48BD" w:rsidP="004F48BD">
      <w:pPr>
        <w:jc w:val="both"/>
        <w:rPr>
          <w:sz w:val="16"/>
        </w:rPr>
      </w:pPr>
      <w:r w:rsidRPr="00A6415B">
        <w:rPr>
          <w:sz w:val="16"/>
        </w:rPr>
        <w:t>* Cifras preliminares.</w:t>
      </w:r>
    </w:p>
    <w:p w:rsidR="004F48BD" w:rsidRPr="008E7DDA" w:rsidRDefault="004F48BD" w:rsidP="004F48BD">
      <w:pPr>
        <w:jc w:val="both"/>
      </w:pPr>
    </w:p>
    <w:p w:rsidR="004F48BD" w:rsidRPr="008E7DDA" w:rsidRDefault="004F48BD" w:rsidP="004F48BD">
      <w:pPr>
        <w:jc w:val="both"/>
      </w:pPr>
      <w:r w:rsidRPr="008E7DDA">
        <w:t xml:space="preserve">Por su parte, los impuestos asociados al comercio exterior </w:t>
      </w:r>
      <w:r w:rsidRPr="00177EBF">
        <w:t xml:space="preserve">representan el 27.0% </w:t>
      </w:r>
      <w:r>
        <w:t xml:space="preserve">(28.7% </w:t>
      </w:r>
      <w:r w:rsidRPr="00177EBF">
        <w:t>al 30 de junio de 2015</w:t>
      </w:r>
      <w:r>
        <w:t>); la variación se explica por una menor recaudación en el impuesto al valor agregado a las importaciones por Q124.8 millones</w:t>
      </w:r>
      <w:r w:rsidRPr="008E7DDA">
        <w:t xml:space="preserve">, </w:t>
      </w:r>
      <w:r>
        <w:t xml:space="preserve">(2.1%) </w:t>
      </w:r>
      <w:r w:rsidRPr="008E7DDA">
        <w:t>en</w:t>
      </w:r>
      <w:r>
        <w:t xml:space="preserve"> lo referente a los derechos arancelarios, estos </w:t>
      </w:r>
      <w:r w:rsidRPr="00C41C39">
        <w:t>alcanz</w:t>
      </w:r>
      <w:r>
        <w:t>ar</w:t>
      </w:r>
      <w:r w:rsidRPr="00C41C39">
        <w:t>o</w:t>
      </w:r>
      <w:r>
        <w:t>n</w:t>
      </w:r>
      <w:r w:rsidRPr="00C41C39">
        <w:t xml:space="preserve"> una recaudación de Q1,078.4 millones</w:t>
      </w:r>
      <w:r>
        <w:t xml:space="preserve"> (13.7%)  superior a lo observado en 2015.(Q948.0 millones).</w:t>
      </w:r>
    </w:p>
    <w:p w:rsidR="004F48BD" w:rsidRDefault="004F48BD" w:rsidP="004F48BD">
      <w:pPr>
        <w:jc w:val="both"/>
      </w:pPr>
    </w:p>
    <w:p w:rsidR="004F48BD" w:rsidRDefault="004F48BD" w:rsidP="004F48BD">
      <w:pPr>
        <w:jc w:val="both"/>
      </w:pPr>
    </w:p>
    <w:p w:rsidR="004F48BD" w:rsidRDefault="004F48BD" w:rsidP="004F48BD">
      <w:pPr>
        <w:jc w:val="both"/>
      </w:pPr>
    </w:p>
    <w:p w:rsidR="004F48BD" w:rsidRDefault="004F48BD" w:rsidP="004F48BD">
      <w:pPr>
        <w:jc w:val="both"/>
      </w:pPr>
    </w:p>
    <w:p w:rsidR="004F48BD" w:rsidRPr="008E7DDA" w:rsidRDefault="004F48BD" w:rsidP="004F48BD">
      <w:pPr>
        <w:jc w:val="both"/>
      </w:pPr>
    </w:p>
    <w:p w:rsidR="004F48BD" w:rsidRPr="008E7DDA" w:rsidRDefault="004F48BD" w:rsidP="004F48BD">
      <w:pPr>
        <w:jc w:val="both"/>
      </w:pPr>
    </w:p>
    <w:p w:rsidR="004F48BD" w:rsidRDefault="004F48BD" w:rsidP="004F48BD">
      <w:pPr>
        <w:jc w:val="center"/>
        <w:rPr>
          <w:b/>
          <w:sz w:val="22"/>
          <w:lang w:val="es-MX"/>
        </w:rPr>
      </w:pPr>
    </w:p>
    <w:p w:rsidR="004F48BD" w:rsidRDefault="004F48BD" w:rsidP="004F48BD">
      <w:pPr>
        <w:jc w:val="center"/>
        <w:rPr>
          <w:b/>
          <w:sz w:val="22"/>
          <w:lang w:val="es-MX"/>
        </w:rPr>
      </w:pPr>
    </w:p>
    <w:p w:rsidR="004F48BD" w:rsidRDefault="004F48BD" w:rsidP="004F48BD">
      <w:pPr>
        <w:jc w:val="center"/>
        <w:rPr>
          <w:b/>
          <w:sz w:val="22"/>
          <w:lang w:val="es-MX"/>
        </w:rPr>
      </w:pPr>
    </w:p>
    <w:p w:rsidR="004F48BD" w:rsidRDefault="004F48BD" w:rsidP="004F48BD">
      <w:pPr>
        <w:jc w:val="center"/>
        <w:rPr>
          <w:b/>
          <w:sz w:val="22"/>
          <w:lang w:val="es-MX"/>
        </w:rPr>
      </w:pPr>
    </w:p>
    <w:p w:rsidR="004F48BD" w:rsidRPr="00AC33DC" w:rsidRDefault="004F48BD" w:rsidP="004F48BD">
      <w:pPr>
        <w:jc w:val="center"/>
        <w:rPr>
          <w:b/>
          <w:sz w:val="22"/>
          <w:lang w:val="es-MX"/>
        </w:rPr>
      </w:pPr>
      <w:r w:rsidRPr="00AC33DC">
        <w:rPr>
          <w:b/>
          <w:sz w:val="22"/>
          <w:lang w:val="es-MX"/>
        </w:rPr>
        <w:t xml:space="preserve">Gráfica </w:t>
      </w:r>
      <w:r>
        <w:rPr>
          <w:b/>
          <w:sz w:val="22"/>
          <w:lang w:val="es-MX"/>
        </w:rPr>
        <w:t>2</w:t>
      </w:r>
    </w:p>
    <w:p w:rsidR="004F48BD" w:rsidRPr="00AC33DC" w:rsidRDefault="004F48BD" w:rsidP="004F48BD">
      <w:pPr>
        <w:jc w:val="center"/>
        <w:rPr>
          <w:b/>
          <w:sz w:val="22"/>
          <w:lang w:val="es-MX"/>
        </w:rPr>
      </w:pPr>
      <w:r w:rsidRPr="00AC33DC">
        <w:rPr>
          <w:b/>
          <w:sz w:val="22"/>
          <w:lang w:val="es-MX"/>
        </w:rPr>
        <w:t xml:space="preserve">Estructura </w:t>
      </w:r>
      <w:r>
        <w:rPr>
          <w:b/>
          <w:sz w:val="22"/>
          <w:lang w:val="es-MX"/>
        </w:rPr>
        <w:t>T</w:t>
      </w:r>
      <w:r w:rsidRPr="00AC33DC">
        <w:rPr>
          <w:b/>
          <w:sz w:val="22"/>
          <w:lang w:val="es-MX"/>
        </w:rPr>
        <w:t>ributaria por</w:t>
      </w:r>
      <w:r>
        <w:rPr>
          <w:b/>
          <w:sz w:val="22"/>
          <w:lang w:val="es-MX"/>
        </w:rPr>
        <w:t xml:space="preserve"> O</w:t>
      </w:r>
      <w:r w:rsidRPr="00AC33DC">
        <w:rPr>
          <w:b/>
          <w:sz w:val="22"/>
          <w:lang w:val="es-MX"/>
        </w:rPr>
        <w:t xml:space="preserve">rigen del </w:t>
      </w:r>
      <w:r>
        <w:rPr>
          <w:b/>
          <w:sz w:val="22"/>
          <w:lang w:val="es-MX"/>
        </w:rPr>
        <w:t>R</w:t>
      </w:r>
      <w:r w:rsidRPr="00AC33DC">
        <w:rPr>
          <w:b/>
          <w:sz w:val="22"/>
          <w:lang w:val="es-MX"/>
        </w:rPr>
        <w:t>ecaudo</w:t>
      </w:r>
    </w:p>
    <w:p w:rsidR="004F48BD" w:rsidRPr="004F48BD" w:rsidRDefault="004F48BD" w:rsidP="004F48BD">
      <w:pPr>
        <w:jc w:val="center"/>
        <w:rPr>
          <w:i/>
          <w:sz w:val="22"/>
          <w:lang w:val="es-MX"/>
        </w:rPr>
      </w:pPr>
      <w:r w:rsidRPr="004F48BD">
        <w:rPr>
          <w:i/>
          <w:sz w:val="22"/>
          <w:lang w:val="es-MX"/>
        </w:rPr>
        <w:t>Comparativo al 30 de junio de cada año</w:t>
      </w:r>
    </w:p>
    <w:p w:rsidR="004F48BD" w:rsidRDefault="004F48BD" w:rsidP="004F48BD">
      <w:pPr>
        <w:jc w:val="center"/>
        <w:rPr>
          <w:b/>
          <w:sz w:val="22"/>
          <w:lang w:val="es-MX"/>
        </w:rPr>
      </w:pPr>
      <w:r w:rsidRPr="004F48BD">
        <w:rPr>
          <w:i/>
          <w:sz w:val="22"/>
          <w:lang w:val="es-MX"/>
        </w:rPr>
        <w:t>(Cifras en Porcentajes)</w:t>
      </w:r>
    </w:p>
    <w:p w:rsidR="004F48BD" w:rsidRPr="00AC33DC" w:rsidRDefault="004F48BD" w:rsidP="004F48BD">
      <w:pPr>
        <w:rPr>
          <w:b/>
          <w:sz w:val="22"/>
          <w:lang w:val="es-MX"/>
        </w:rPr>
      </w:pPr>
      <w:r>
        <w:rPr>
          <w:noProof/>
          <w:lang w:val="es-GT" w:eastAsia="es-GT"/>
        </w:rPr>
        <w:drawing>
          <wp:inline distT="0" distB="0" distL="0" distR="0" wp14:anchorId="3AED6A94" wp14:editId="411E8B67">
            <wp:extent cx="2997455" cy="1974850"/>
            <wp:effectExtent l="0" t="0" r="0" b="6350"/>
            <wp:docPr id="7"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lang w:val="es-GT" w:eastAsia="es-GT"/>
        </w:rPr>
        <w:drawing>
          <wp:inline distT="0" distB="0" distL="0" distR="0" wp14:anchorId="4BD6CDE0" wp14:editId="0AA4F3F4">
            <wp:extent cx="2679493" cy="1962150"/>
            <wp:effectExtent l="0" t="0" r="6985" b="0"/>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F48BD" w:rsidRPr="00A6415B" w:rsidRDefault="004F48BD" w:rsidP="004F48BD">
      <w:pPr>
        <w:jc w:val="both"/>
        <w:rPr>
          <w:sz w:val="22"/>
        </w:rPr>
      </w:pPr>
      <w:r w:rsidRPr="00A6415B">
        <w:rPr>
          <w:sz w:val="16"/>
          <w:szCs w:val="18"/>
        </w:rPr>
        <w:t>Fuente: Ministerio de Finanzas Públicas con base al SICOIN.</w:t>
      </w:r>
    </w:p>
    <w:p w:rsidR="004F48BD" w:rsidRPr="00A6415B" w:rsidRDefault="004F48BD" w:rsidP="004F48BD">
      <w:pPr>
        <w:jc w:val="both"/>
        <w:rPr>
          <w:sz w:val="16"/>
        </w:rPr>
      </w:pPr>
      <w:r w:rsidRPr="00A6415B">
        <w:rPr>
          <w:sz w:val="16"/>
        </w:rPr>
        <w:t>* Cifras preliminares.</w:t>
      </w:r>
    </w:p>
    <w:p w:rsidR="004F48BD" w:rsidRPr="008E7DDA" w:rsidRDefault="004F48BD" w:rsidP="004F48BD">
      <w:pPr>
        <w:tabs>
          <w:tab w:val="left" w:pos="2104"/>
        </w:tabs>
      </w:pPr>
    </w:p>
    <w:p w:rsidR="004F48BD" w:rsidRDefault="004F48BD" w:rsidP="004F48BD">
      <w:pPr>
        <w:jc w:val="both"/>
      </w:pPr>
      <w:r w:rsidRPr="008E7DDA">
        <w:t xml:space="preserve">Como resultado </w:t>
      </w:r>
      <w:r>
        <w:t>del comportamiento de la</w:t>
      </w:r>
      <w:r w:rsidRPr="008E7DDA">
        <w:t xml:space="preserve"> recaudación al 30 de junio, la carga tributaria se ubicó en 5.</w:t>
      </w:r>
      <w:r>
        <w:t>0</w:t>
      </w:r>
      <w:r w:rsidRPr="008E7DDA">
        <w:t>%</w:t>
      </w:r>
      <w:r>
        <w:t>,</w:t>
      </w:r>
      <w:r w:rsidRPr="008E7DDA">
        <w:t xml:space="preserve"> </w:t>
      </w:r>
      <w:r>
        <w:t xml:space="preserve">ligeramente inferior al promedio </w:t>
      </w:r>
      <w:r w:rsidRPr="008E7DDA">
        <w:t>observa</w:t>
      </w:r>
      <w:r>
        <w:t>do durante el periodo 2008-2016 el cual se establece en 5.2%.</w:t>
      </w:r>
    </w:p>
    <w:p w:rsidR="004F48BD" w:rsidRDefault="004F48BD" w:rsidP="004F48BD">
      <w:pPr>
        <w:jc w:val="both"/>
      </w:pPr>
    </w:p>
    <w:p w:rsidR="004F48BD" w:rsidRPr="00AC33DC" w:rsidRDefault="004F48BD" w:rsidP="004F48BD">
      <w:pPr>
        <w:jc w:val="center"/>
        <w:rPr>
          <w:b/>
          <w:sz w:val="22"/>
          <w:lang w:val="es-MX"/>
        </w:rPr>
      </w:pPr>
      <w:r w:rsidRPr="00AC33DC">
        <w:rPr>
          <w:b/>
          <w:sz w:val="22"/>
          <w:lang w:val="es-MX"/>
        </w:rPr>
        <w:t xml:space="preserve">Gráfica </w:t>
      </w:r>
      <w:r>
        <w:rPr>
          <w:b/>
          <w:sz w:val="22"/>
          <w:lang w:val="es-MX"/>
        </w:rPr>
        <w:t>3</w:t>
      </w:r>
    </w:p>
    <w:p w:rsidR="004F48BD" w:rsidRPr="00AC33DC" w:rsidRDefault="004F48BD" w:rsidP="004F48BD">
      <w:pPr>
        <w:jc w:val="center"/>
        <w:rPr>
          <w:b/>
          <w:sz w:val="22"/>
          <w:lang w:val="es-MX"/>
        </w:rPr>
      </w:pPr>
      <w:r w:rsidRPr="00AC33DC">
        <w:rPr>
          <w:b/>
          <w:sz w:val="22"/>
          <w:lang w:val="es-MX"/>
        </w:rPr>
        <w:t xml:space="preserve">Carga Tributaria Neta </w:t>
      </w:r>
    </w:p>
    <w:p w:rsidR="004F48BD" w:rsidRPr="004F48BD" w:rsidRDefault="004F48BD" w:rsidP="004F48BD">
      <w:pPr>
        <w:jc w:val="center"/>
        <w:rPr>
          <w:i/>
          <w:sz w:val="22"/>
          <w:lang w:val="es-MX"/>
        </w:rPr>
      </w:pPr>
      <w:r w:rsidRPr="004F48BD">
        <w:rPr>
          <w:i/>
          <w:sz w:val="22"/>
          <w:lang w:val="es-MX"/>
        </w:rPr>
        <w:t>Estimada al 30 de junio de cada año</w:t>
      </w:r>
    </w:p>
    <w:p w:rsidR="004F48BD" w:rsidRPr="004F48BD" w:rsidRDefault="004F48BD" w:rsidP="004F48BD">
      <w:pPr>
        <w:jc w:val="center"/>
        <w:rPr>
          <w:i/>
          <w:sz w:val="22"/>
          <w:lang w:val="es-MX"/>
        </w:rPr>
      </w:pPr>
      <w:r w:rsidRPr="004F48BD">
        <w:rPr>
          <w:i/>
          <w:sz w:val="22"/>
          <w:lang w:val="es-MX"/>
        </w:rPr>
        <w:t>(Cifras en porcentaje del PIB)</w:t>
      </w:r>
    </w:p>
    <w:p w:rsidR="004F48BD" w:rsidRDefault="004F48BD" w:rsidP="004F48BD">
      <w:pPr>
        <w:jc w:val="center"/>
        <w:rPr>
          <w:b/>
          <w:sz w:val="22"/>
          <w:lang w:val="es-MX"/>
        </w:rPr>
      </w:pPr>
      <w:r>
        <w:rPr>
          <w:noProof/>
          <w:lang w:val="es-GT" w:eastAsia="es-GT"/>
        </w:rPr>
        <w:drawing>
          <wp:inline distT="0" distB="0" distL="0" distR="0" wp14:anchorId="752F887E" wp14:editId="3B943419">
            <wp:extent cx="4929808" cy="3061252"/>
            <wp:effectExtent l="0" t="0" r="4445" b="63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F48BD" w:rsidRPr="00AC33DC" w:rsidRDefault="004F48BD" w:rsidP="004F48BD">
      <w:pPr>
        <w:jc w:val="center"/>
        <w:rPr>
          <w:b/>
          <w:sz w:val="22"/>
          <w:lang w:val="es-MX"/>
        </w:rPr>
      </w:pPr>
    </w:p>
    <w:p w:rsidR="004F48BD" w:rsidRPr="00A6415B" w:rsidRDefault="004F48BD" w:rsidP="004F48BD">
      <w:pPr>
        <w:autoSpaceDE w:val="0"/>
        <w:autoSpaceDN w:val="0"/>
        <w:adjustRightInd w:val="0"/>
        <w:jc w:val="both"/>
        <w:rPr>
          <w:sz w:val="16"/>
          <w:szCs w:val="18"/>
        </w:rPr>
      </w:pPr>
      <w:r w:rsidRPr="00A6415B">
        <w:rPr>
          <w:sz w:val="16"/>
          <w:szCs w:val="18"/>
        </w:rPr>
        <w:t>Fuente: Ministerio de Finanzas Públicas con base al SICOIN.</w:t>
      </w:r>
    </w:p>
    <w:p w:rsidR="004F48BD" w:rsidRPr="00A6415B" w:rsidRDefault="004F48BD" w:rsidP="004F48BD">
      <w:pPr>
        <w:jc w:val="both"/>
        <w:rPr>
          <w:sz w:val="16"/>
        </w:rPr>
      </w:pPr>
      <w:r w:rsidRPr="00A6415B">
        <w:rPr>
          <w:sz w:val="16"/>
        </w:rPr>
        <w:t>* Cifras preliminares.</w:t>
      </w:r>
    </w:p>
    <w:p w:rsidR="004F48BD" w:rsidRDefault="004F48BD" w:rsidP="004F48BD">
      <w:pPr>
        <w:jc w:val="both"/>
      </w:pPr>
    </w:p>
    <w:p w:rsidR="004F48BD" w:rsidRDefault="004F48BD" w:rsidP="004F48BD">
      <w:pPr>
        <w:jc w:val="both"/>
      </w:pPr>
    </w:p>
    <w:p w:rsidR="004F48BD" w:rsidRPr="00AC33DC" w:rsidRDefault="004F48BD" w:rsidP="004F48BD">
      <w:pPr>
        <w:jc w:val="center"/>
        <w:rPr>
          <w:b/>
          <w:sz w:val="22"/>
          <w:lang w:val="es-MX"/>
        </w:rPr>
      </w:pPr>
      <w:r w:rsidRPr="00AC33DC">
        <w:rPr>
          <w:b/>
          <w:sz w:val="22"/>
          <w:lang w:val="es-MX"/>
        </w:rPr>
        <w:t xml:space="preserve">Gráfica </w:t>
      </w:r>
      <w:r>
        <w:rPr>
          <w:b/>
          <w:sz w:val="22"/>
          <w:lang w:val="es-MX"/>
        </w:rPr>
        <w:t xml:space="preserve">4 </w:t>
      </w:r>
    </w:p>
    <w:p w:rsidR="004F48BD" w:rsidRPr="00AC33DC" w:rsidRDefault="004F48BD" w:rsidP="004F48BD">
      <w:pPr>
        <w:jc w:val="center"/>
        <w:rPr>
          <w:b/>
          <w:sz w:val="22"/>
          <w:lang w:val="es-MX"/>
        </w:rPr>
      </w:pPr>
      <w:r w:rsidRPr="00AC33DC">
        <w:rPr>
          <w:b/>
          <w:sz w:val="22"/>
          <w:lang w:val="es-MX"/>
        </w:rPr>
        <w:t xml:space="preserve">Recaudación Neta Acumulada </w:t>
      </w:r>
      <w:r>
        <w:rPr>
          <w:b/>
          <w:sz w:val="22"/>
          <w:lang w:val="es-MX"/>
        </w:rPr>
        <w:t>vrs Meta estimada SAT</w:t>
      </w:r>
    </w:p>
    <w:p w:rsidR="004F48BD" w:rsidRPr="004F48BD" w:rsidRDefault="004F48BD" w:rsidP="004F48BD">
      <w:pPr>
        <w:jc w:val="center"/>
        <w:rPr>
          <w:i/>
          <w:sz w:val="22"/>
          <w:lang w:val="es-MX"/>
        </w:rPr>
      </w:pPr>
      <w:r w:rsidRPr="004F48BD">
        <w:rPr>
          <w:i/>
          <w:sz w:val="22"/>
          <w:lang w:val="es-MX"/>
        </w:rPr>
        <w:t>Al 30 de junio de 2010-2016*</w:t>
      </w:r>
    </w:p>
    <w:p w:rsidR="004F48BD" w:rsidRPr="004F48BD" w:rsidRDefault="004F48BD" w:rsidP="004F48BD">
      <w:pPr>
        <w:jc w:val="center"/>
        <w:rPr>
          <w:i/>
          <w:sz w:val="22"/>
          <w:lang w:val="es-MX"/>
        </w:rPr>
      </w:pPr>
      <w:r w:rsidRPr="004F48BD">
        <w:rPr>
          <w:i/>
          <w:sz w:val="22"/>
          <w:lang w:val="es-MX"/>
        </w:rPr>
        <w:t>(Cifras en Millones de Quetzales)</w:t>
      </w:r>
    </w:p>
    <w:p w:rsidR="004F48BD" w:rsidRDefault="004F48BD" w:rsidP="004F48BD">
      <w:pPr>
        <w:jc w:val="center"/>
        <w:rPr>
          <w:b/>
          <w:sz w:val="22"/>
          <w:lang w:val="es-MX"/>
        </w:rPr>
      </w:pPr>
      <w:r>
        <w:rPr>
          <w:noProof/>
          <w:lang w:val="es-GT" w:eastAsia="es-GT"/>
        </w:rPr>
        <w:drawing>
          <wp:inline distT="0" distB="0" distL="0" distR="0" wp14:anchorId="3F9F7355" wp14:editId="63184BF5">
            <wp:extent cx="5613621" cy="3260035"/>
            <wp:effectExtent l="0" t="0" r="635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F48BD" w:rsidRPr="003115F3" w:rsidRDefault="004F48BD" w:rsidP="004F48BD">
      <w:pPr>
        <w:rPr>
          <w:sz w:val="16"/>
        </w:rPr>
      </w:pPr>
      <w:r w:rsidRPr="003115F3">
        <w:rPr>
          <w:sz w:val="16"/>
        </w:rPr>
        <w:t xml:space="preserve">Fuente: </w:t>
      </w:r>
      <w:r>
        <w:rPr>
          <w:sz w:val="16"/>
        </w:rPr>
        <w:t>Recaudación: SICOIN, Ministerio de Finanzas Públicas</w:t>
      </w:r>
      <w:r w:rsidRPr="003115F3">
        <w:rPr>
          <w:sz w:val="16"/>
        </w:rPr>
        <w:t>.</w:t>
      </w:r>
      <w:r>
        <w:rPr>
          <w:sz w:val="16"/>
        </w:rPr>
        <w:t xml:space="preserve"> Estimaciones META: Portal SAT</w:t>
      </w:r>
    </w:p>
    <w:p w:rsidR="004F48BD" w:rsidRDefault="004F48BD" w:rsidP="004F48BD">
      <w:pPr>
        <w:rPr>
          <w:sz w:val="16"/>
        </w:rPr>
      </w:pPr>
      <w:r w:rsidRPr="003115F3">
        <w:rPr>
          <w:sz w:val="16"/>
        </w:rPr>
        <w:t>* Cifras preliminares.</w:t>
      </w:r>
    </w:p>
    <w:p w:rsidR="004F48BD" w:rsidRDefault="004F48BD" w:rsidP="004F48BD">
      <w:pPr>
        <w:rPr>
          <w:sz w:val="16"/>
        </w:rPr>
      </w:pPr>
    </w:p>
    <w:p w:rsidR="004F48BD" w:rsidRPr="004F48BD" w:rsidRDefault="004F48BD" w:rsidP="004F48BD">
      <w:pPr>
        <w:rPr>
          <w:sz w:val="12"/>
        </w:rPr>
      </w:pPr>
    </w:p>
    <w:p w:rsidR="004F48BD" w:rsidRDefault="004F48BD" w:rsidP="004F48BD">
      <w:pPr>
        <w:jc w:val="both"/>
        <w:rPr>
          <w:sz w:val="22"/>
          <w:lang w:val="es-MX"/>
        </w:rPr>
      </w:pPr>
      <w:r w:rsidRPr="004F48BD">
        <w:t>Durante el periodo 2010-2016, al comparar la recaudación acumulada el 30 de junio en función de la meta de recaudación establecida en el convenio anual entre el Organismo Ejecutivo y la SAT para esos años, puede observarse que entre el 2010 y 2012 la recaudación acumulada superó las estimaciones de recaudación de la SAT, sin embargo, a partir del ejercicio fiscal 2013 la recaudación acumulada al mismo periodo se ha colocado por debajo de la meta establecida, destaca el año 2015 en el cual la brecha al 30 de junio se situaba en el orden de Q 1,570 millones</w:t>
      </w:r>
      <w:r>
        <w:rPr>
          <w:sz w:val="22"/>
          <w:lang w:val="es-MX"/>
        </w:rPr>
        <w:t xml:space="preserve">. </w:t>
      </w:r>
    </w:p>
    <w:p w:rsidR="004F48BD" w:rsidRDefault="004F48BD" w:rsidP="004F48BD">
      <w:pPr>
        <w:jc w:val="both"/>
        <w:rPr>
          <w:sz w:val="22"/>
          <w:lang w:val="es-MX"/>
        </w:rPr>
      </w:pPr>
    </w:p>
    <w:p w:rsidR="004F48BD" w:rsidRPr="00192FC5" w:rsidRDefault="004F48BD" w:rsidP="004F48BD">
      <w:pPr>
        <w:jc w:val="both"/>
        <w:rPr>
          <w:sz w:val="22"/>
          <w:lang w:val="es-MX"/>
        </w:rPr>
      </w:pPr>
      <w:r w:rsidRPr="004F48BD">
        <w:t xml:space="preserve">Este comportamiento en la recaudación estuvo  influenciado entre otros factores por </w:t>
      </w:r>
      <w:r>
        <w:t xml:space="preserve">la disminución de los impuestos asociados al comercio exterior especialmente el IVA Importaciones (que presentaba  una caída del orden de los Q.262.6 millones); por su parte, el Impuesto Sobre la Renta, de acuerdo con la SAT, la reforma tributaria contenida en el Decreto 10-2012 del Congreso de la República de Guatemala “Ley de actualización tributaria” disminuyó la tasa impositiva de las rentas de actividades lucrativas del régimen de utilidades, lo que motivó el cambio de régimen de algunos contribuyentes y la forma de determinar el pago trimestral, manifestando una incidencia negativa en los resultados de recaudación. Otro importante factor a considerar es la disminución en las regalías e hidrocarburos compartibles, especial atención </w:t>
      </w:r>
      <w:r>
        <w:rPr>
          <w:sz w:val="22"/>
          <w:lang w:val="es-MX"/>
        </w:rPr>
        <w:t>al</w:t>
      </w:r>
      <w:r>
        <w:t xml:space="preserve"> efecto de la baja de los precios internacionales del petróleo y su influencia en el precio del crudo nacional. </w:t>
      </w:r>
    </w:p>
    <w:p w:rsidR="004F48BD" w:rsidRDefault="004F48BD">
      <w:pPr>
        <w:rPr>
          <w:b/>
          <w:bCs/>
          <w:lang w:val="es-MX"/>
        </w:rPr>
      </w:pPr>
    </w:p>
    <w:p w:rsidR="00FB641E" w:rsidRPr="00FB641E" w:rsidRDefault="00FB641E" w:rsidP="00FB641E">
      <w:pPr>
        <w:keepNext/>
        <w:keepLines/>
        <w:numPr>
          <w:ilvl w:val="1"/>
          <w:numId w:val="1"/>
        </w:numPr>
        <w:spacing w:before="200"/>
        <w:outlineLvl w:val="1"/>
        <w:rPr>
          <w:b/>
          <w:bCs/>
          <w:szCs w:val="26"/>
        </w:rPr>
      </w:pPr>
      <w:bookmarkStart w:id="9" w:name="_Toc460422669"/>
      <w:r w:rsidRPr="00FB641E">
        <w:rPr>
          <w:b/>
          <w:bCs/>
          <w:szCs w:val="26"/>
        </w:rPr>
        <w:lastRenderedPageBreak/>
        <w:t>Ejecución del Gasto Público</w:t>
      </w:r>
      <w:bookmarkEnd w:id="9"/>
    </w:p>
    <w:p w:rsidR="00FB641E" w:rsidRPr="00FB641E" w:rsidRDefault="00FB641E" w:rsidP="00FB641E">
      <w:pPr>
        <w:jc w:val="both"/>
        <w:rPr>
          <w:lang w:val="es-MX"/>
        </w:rPr>
      </w:pPr>
    </w:p>
    <w:p w:rsidR="00FB641E" w:rsidRPr="00FB641E" w:rsidRDefault="00FB641E" w:rsidP="00FB641E">
      <w:pPr>
        <w:jc w:val="both"/>
        <w:rPr>
          <w:lang w:val="es-MX"/>
        </w:rPr>
      </w:pPr>
      <w:r w:rsidRPr="00FB641E">
        <w:rPr>
          <w:lang w:val="es-MX"/>
        </w:rPr>
        <w:t xml:space="preserve">Al 30 de junio de 2016 se han ejecutado Q28,650.0 millones, que corresponden al 40.3% del presupuesto vigente, </w:t>
      </w:r>
      <w:r w:rsidR="00A6415B">
        <w:rPr>
          <w:lang w:val="es-MX"/>
        </w:rPr>
        <w:t xml:space="preserve">(Q2,424.4 millones menor </w:t>
      </w:r>
      <w:r w:rsidR="005D688B">
        <w:rPr>
          <w:lang w:val="es-MX"/>
        </w:rPr>
        <w:t>que</w:t>
      </w:r>
      <w:r w:rsidR="00A6415B">
        <w:rPr>
          <w:lang w:val="es-MX"/>
        </w:rPr>
        <w:t xml:space="preserve"> </w:t>
      </w:r>
      <w:r w:rsidRPr="00FB641E">
        <w:rPr>
          <w:lang w:val="es-MX"/>
        </w:rPr>
        <w:t xml:space="preserve">la ejecución </w:t>
      </w:r>
      <w:r w:rsidR="00A6415B">
        <w:rPr>
          <w:lang w:val="es-MX"/>
        </w:rPr>
        <w:t>del mismo per</w:t>
      </w:r>
      <w:r w:rsidR="00106CF0">
        <w:rPr>
          <w:lang w:val="es-MX"/>
        </w:rPr>
        <w:t>í</w:t>
      </w:r>
      <w:r w:rsidR="00A6415B">
        <w:rPr>
          <w:lang w:val="es-MX"/>
        </w:rPr>
        <w:t>odo en</w:t>
      </w:r>
      <w:r w:rsidRPr="00FB641E">
        <w:rPr>
          <w:lang w:val="es-MX"/>
        </w:rPr>
        <w:t xml:space="preserve"> 2015</w:t>
      </w:r>
      <w:r w:rsidR="00A6415B">
        <w:rPr>
          <w:lang w:val="es-MX"/>
        </w:rPr>
        <w:t>)</w:t>
      </w:r>
      <w:r w:rsidRPr="00FB641E">
        <w:rPr>
          <w:lang w:val="es-MX"/>
        </w:rPr>
        <w:t xml:space="preserve">. La disminución en la ejecución presupuestaria </w:t>
      </w:r>
      <w:r w:rsidR="00A6415B">
        <w:rPr>
          <w:lang w:val="es-MX"/>
        </w:rPr>
        <w:t>(</w:t>
      </w:r>
      <w:r w:rsidRPr="00FB641E">
        <w:rPr>
          <w:lang w:val="es-MX"/>
        </w:rPr>
        <w:t>equivale</w:t>
      </w:r>
      <w:r w:rsidR="005D688B">
        <w:rPr>
          <w:lang w:val="es-MX"/>
        </w:rPr>
        <w:t>nte</w:t>
      </w:r>
      <w:r w:rsidRPr="00FB641E">
        <w:rPr>
          <w:lang w:val="es-MX"/>
        </w:rPr>
        <w:t xml:space="preserve"> a 7.8% respecto del año anterior</w:t>
      </w:r>
      <w:r w:rsidR="00A6415B">
        <w:rPr>
          <w:lang w:val="es-MX"/>
        </w:rPr>
        <w:t>)</w:t>
      </w:r>
      <w:r w:rsidRPr="00FB641E">
        <w:rPr>
          <w:lang w:val="es-MX"/>
        </w:rPr>
        <w:t xml:space="preserve">, </w:t>
      </w:r>
      <w:r w:rsidR="00A6415B">
        <w:rPr>
          <w:lang w:val="es-MX"/>
        </w:rPr>
        <w:t>obedece</w:t>
      </w:r>
      <w:r w:rsidRPr="00FB641E">
        <w:rPr>
          <w:lang w:val="es-MX"/>
        </w:rPr>
        <w:t xml:space="preserve"> a las </w:t>
      </w:r>
      <w:r w:rsidR="00C40175">
        <w:rPr>
          <w:lang w:val="es-MX"/>
        </w:rPr>
        <w:t xml:space="preserve">estrictas </w:t>
      </w:r>
      <w:r w:rsidRPr="00C40175">
        <w:rPr>
          <w:lang w:val="es-MX"/>
        </w:rPr>
        <w:t>medidas de contención del gasto</w:t>
      </w:r>
      <w:r w:rsidRPr="00FB641E">
        <w:rPr>
          <w:lang w:val="es-MX"/>
        </w:rPr>
        <w:t xml:space="preserve"> </w:t>
      </w:r>
      <w:r w:rsidR="005D688B">
        <w:rPr>
          <w:lang w:val="es-MX"/>
        </w:rPr>
        <w:t xml:space="preserve">público </w:t>
      </w:r>
      <w:r w:rsidRPr="00FB641E">
        <w:rPr>
          <w:lang w:val="es-MX"/>
        </w:rPr>
        <w:t xml:space="preserve">aplicadas desde principios del año, </w:t>
      </w:r>
      <w:r w:rsidR="00BA01AE">
        <w:rPr>
          <w:lang w:val="es-MX"/>
        </w:rPr>
        <w:t>en virtud</w:t>
      </w:r>
      <w:r w:rsidRPr="00FB641E">
        <w:rPr>
          <w:lang w:val="es-MX"/>
        </w:rPr>
        <w:t xml:space="preserve"> de la brecha en la recaudación tributaria </w:t>
      </w:r>
      <w:r w:rsidR="00BA01AE">
        <w:rPr>
          <w:lang w:val="es-MX"/>
        </w:rPr>
        <w:t xml:space="preserve">observada </w:t>
      </w:r>
      <w:r w:rsidRPr="00FB641E">
        <w:rPr>
          <w:lang w:val="es-MX"/>
        </w:rPr>
        <w:t>en los primeros meses, con relación a la meta proyectada, así como a la restricción en la colocación de la totalidad de bonos del tesoro</w:t>
      </w:r>
      <w:r w:rsidR="005D688B">
        <w:rPr>
          <w:lang w:val="es-MX"/>
        </w:rPr>
        <w:t xml:space="preserve"> en el primer semestre del presente año, </w:t>
      </w:r>
      <w:r w:rsidRPr="00FB641E">
        <w:rPr>
          <w:lang w:val="es-MX"/>
        </w:rPr>
        <w:t>que contenía el artículo 37 del Decreto No. 14-2015, lo que afectó principalmente el gasto en inversión pública.</w:t>
      </w:r>
    </w:p>
    <w:p w:rsidR="00FB641E" w:rsidRDefault="00FB641E" w:rsidP="00FB641E">
      <w:pPr>
        <w:jc w:val="both"/>
        <w:rPr>
          <w:sz w:val="18"/>
          <w:lang w:val="es-MX"/>
        </w:rPr>
      </w:pPr>
    </w:p>
    <w:p w:rsidR="001335CF" w:rsidRPr="00FB641E" w:rsidRDefault="001335CF" w:rsidP="00FB641E">
      <w:pPr>
        <w:jc w:val="both"/>
        <w:rPr>
          <w:sz w:val="18"/>
          <w:lang w:val="es-MX"/>
        </w:rPr>
      </w:pPr>
    </w:p>
    <w:p w:rsidR="00FB641E" w:rsidRPr="00FB641E" w:rsidRDefault="00FB641E" w:rsidP="00FB641E">
      <w:pPr>
        <w:jc w:val="center"/>
        <w:rPr>
          <w:b/>
          <w:sz w:val="22"/>
          <w:lang w:val="es-MX"/>
        </w:rPr>
      </w:pPr>
      <w:r w:rsidRPr="00FB641E">
        <w:rPr>
          <w:b/>
          <w:sz w:val="22"/>
          <w:lang w:val="es-MX"/>
        </w:rPr>
        <w:t xml:space="preserve">Cuadro </w:t>
      </w:r>
      <w:r w:rsidR="00BA01AE">
        <w:rPr>
          <w:b/>
          <w:sz w:val="22"/>
          <w:lang w:val="es-MX"/>
        </w:rPr>
        <w:t>2</w:t>
      </w:r>
    </w:p>
    <w:p w:rsidR="00FB641E" w:rsidRPr="00FB641E" w:rsidRDefault="00FB641E" w:rsidP="00FB641E">
      <w:pPr>
        <w:jc w:val="center"/>
        <w:rPr>
          <w:b/>
          <w:sz w:val="22"/>
          <w:lang w:val="es-MX"/>
        </w:rPr>
      </w:pPr>
      <w:r w:rsidRPr="00FB641E">
        <w:rPr>
          <w:b/>
          <w:sz w:val="22"/>
          <w:lang w:val="es-MX"/>
        </w:rPr>
        <w:t>Ejecución Presupuestaria por Tipo de Gasto</w:t>
      </w:r>
    </w:p>
    <w:p w:rsidR="00FB641E" w:rsidRPr="00106CF0" w:rsidRDefault="00FB641E" w:rsidP="00FB641E">
      <w:pPr>
        <w:jc w:val="center"/>
        <w:rPr>
          <w:i/>
          <w:sz w:val="22"/>
          <w:lang w:val="es-MX"/>
        </w:rPr>
      </w:pPr>
      <w:r w:rsidRPr="00106CF0">
        <w:rPr>
          <w:i/>
          <w:sz w:val="22"/>
          <w:lang w:val="es-MX"/>
        </w:rPr>
        <w:t>Al 30 de junio de cada año</w:t>
      </w:r>
    </w:p>
    <w:p w:rsidR="00FB641E" w:rsidRDefault="00FB641E" w:rsidP="00FB641E">
      <w:pPr>
        <w:jc w:val="center"/>
        <w:rPr>
          <w:i/>
          <w:sz w:val="22"/>
          <w:lang w:val="es-MX"/>
        </w:rPr>
      </w:pPr>
      <w:r w:rsidRPr="00106CF0">
        <w:rPr>
          <w:i/>
          <w:sz w:val="22"/>
          <w:lang w:val="es-MX"/>
        </w:rPr>
        <w:t>(Cifras en Millones de Quetzales)</w:t>
      </w:r>
    </w:p>
    <w:tbl>
      <w:tblPr>
        <w:tblW w:w="9087" w:type="dxa"/>
        <w:tblInd w:w="55" w:type="dxa"/>
        <w:tblCellMar>
          <w:left w:w="70" w:type="dxa"/>
          <w:right w:w="70" w:type="dxa"/>
        </w:tblCellMar>
        <w:tblLook w:val="04A0" w:firstRow="1" w:lastRow="0" w:firstColumn="1" w:lastColumn="0" w:noHBand="0" w:noVBand="1"/>
      </w:tblPr>
      <w:tblGrid>
        <w:gridCol w:w="3843"/>
        <w:gridCol w:w="1417"/>
        <w:gridCol w:w="1276"/>
        <w:gridCol w:w="1276"/>
        <w:gridCol w:w="1275"/>
      </w:tblGrid>
      <w:tr w:rsidR="001261B0" w:rsidRPr="001261B0" w:rsidTr="001261B0">
        <w:trPr>
          <w:trHeight w:val="315"/>
        </w:trPr>
        <w:tc>
          <w:tcPr>
            <w:tcW w:w="3843" w:type="dxa"/>
            <w:vMerge w:val="restart"/>
            <w:tcBorders>
              <w:top w:val="single" w:sz="12" w:space="0" w:color="auto"/>
              <w:left w:val="single" w:sz="12" w:space="0" w:color="auto"/>
              <w:bottom w:val="single" w:sz="12" w:space="0" w:color="000000"/>
              <w:right w:val="single" w:sz="4" w:space="0" w:color="auto"/>
            </w:tcBorders>
            <w:shd w:val="clear" w:color="000000" w:fill="8DB4E2"/>
            <w:noWrap/>
            <w:vAlign w:val="center"/>
            <w:hideMark/>
          </w:tcPr>
          <w:p w:rsidR="001261B0" w:rsidRPr="001261B0" w:rsidRDefault="001261B0" w:rsidP="001261B0">
            <w:pPr>
              <w:jc w:val="center"/>
              <w:rPr>
                <w:b/>
                <w:bCs/>
                <w:color w:val="000000"/>
                <w:sz w:val="22"/>
                <w:szCs w:val="22"/>
                <w:lang w:val="es-GT" w:eastAsia="es-GT"/>
              </w:rPr>
            </w:pPr>
            <w:r w:rsidRPr="001261B0">
              <w:rPr>
                <w:b/>
                <w:bCs/>
                <w:color w:val="000000"/>
                <w:sz w:val="22"/>
                <w:szCs w:val="22"/>
                <w:lang w:val="es-GT" w:eastAsia="es-GT"/>
              </w:rPr>
              <w:t>Tipo de Gasto</w:t>
            </w:r>
          </w:p>
        </w:tc>
        <w:tc>
          <w:tcPr>
            <w:tcW w:w="1417" w:type="dxa"/>
            <w:vMerge w:val="restart"/>
            <w:tcBorders>
              <w:top w:val="single" w:sz="12" w:space="0" w:color="auto"/>
              <w:left w:val="single" w:sz="4" w:space="0" w:color="auto"/>
              <w:bottom w:val="single" w:sz="12" w:space="0" w:color="000000"/>
              <w:right w:val="single" w:sz="4" w:space="0" w:color="auto"/>
            </w:tcBorders>
            <w:shd w:val="clear" w:color="000000" w:fill="8DB4E2"/>
            <w:noWrap/>
            <w:vAlign w:val="center"/>
            <w:hideMark/>
          </w:tcPr>
          <w:p w:rsidR="001261B0" w:rsidRPr="001261B0" w:rsidRDefault="001261B0" w:rsidP="001261B0">
            <w:pPr>
              <w:jc w:val="center"/>
              <w:rPr>
                <w:b/>
                <w:bCs/>
                <w:color w:val="000000"/>
                <w:sz w:val="22"/>
                <w:szCs w:val="22"/>
                <w:lang w:val="es-GT" w:eastAsia="es-GT"/>
              </w:rPr>
            </w:pPr>
            <w:r w:rsidRPr="001261B0">
              <w:rPr>
                <w:b/>
                <w:bCs/>
                <w:color w:val="000000"/>
                <w:sz w:val="22"/>
                <w:szCs w:val="22"/>
                <w:lang w:val="es-GT" w:eastAsia="es-GT"/>
              </w:rPr>
              <w:t>2015</w:t>
            </w:r>
          </w:p>
        </w:tc>
        <w:tc>
          <w:tcPr>
            <w:tcW w:w="1276" w:type="dxa"/>
            <w:vMerge w:val="restart"/>
            <w:tcBorders>
              <w:top w:val="single" w:sz="12" w:space="0" w:color="auto"/>
              <w:left w:val="single" w:sz="4" w:space="0" w:color="auto"/>
              <w:bottom w:val="single" w:sz="12" w:space="0" w:color="000000"/>
              <w:right w:val="single" w:sz="4" w:space="0" w:color="auto"/>
            </w:tcBorders>
            <w:shd w:val="clear" w:color="000000" w:fill="8DB4E2"/>
            <w:noWrap/>
            <w:vAlign w:val="center"/>
            <w:hideMark/>
          </w:tcPr>
          <w:p w:rsidR="001261B0" w:rsidRPr="001261B0" w:rsidRDefault="001261B0" w:rsidP="001261B0">
            <w:pPr>
              <w:jc w:val="center"/>
              <w:rPr>
                <w:b/>
                <w:bCs/>
                <w:color w:val="000000"/>
                <w:sz w:val="22"/>
                <w:szCs w:val="22"/>
                <w:lang w:val="es-GT" w:eastAsia="es-GT"/>
              </w:rPr>
            </w:pPr>
            <w:r w:rsidRPr="001261B0">
              <w:rPr>
                <w:b/>
                <w:bCs/>
                <w:color w:val="000000"/>
                <w:sz w:val="22"/>
                <w:szCs w:val="22"/>
                <w:lang w:val="es-GT" w:eastAsia="es-GT"/>
              </w:rPr>
              <w:t>2016</w:t>
            </w:r>
          </w:p>
        </w:tc>
        <w:tc>
          <w:tcPr>
            <w:tcW w:w="2551" w:type="dxa"/>
            <w:gridSpan w:val="2"/>
            <w:tcBorders>
              <w:top w:val="single" w:sz="12" w:space="0" w:color="auto"/>
              <w:left w:val="nil"/>
              <w:bottom w:val="single" w:sz="4" w:space="0" w:color="auto"/>
              <w:right w:val="single" w:sz="12" w:space="0" w:color="000000"/>
            </w:tcBorders>
            <w:shd w:val="clear" w:color="000000" w:fill="8DB4E2"/>
            <w:noWrap/>
            <w:vAlign w:val="bottom"/>
            <w:hideMark/>
          </w:tcPr>
          <w:p w:rsidR="001261B0" w:rsidRPr="001261B0" w:rsidRDefault="001261B0" w:rsidP="001261B0">
            <w:pPr>
              <w:jc w:val="center"/>
              <w:rPr>
                <w:b/>
                <w:bCs/>
                <w:color w:val="000000"/>
                <w:sz w:val="22"/>
                <w:szCs w:val="22"/>
                <w:lang w:val="es-GT" w:eastAsia="es-GT"/>
              </w:rPr>
            </w:pPr>
            <w:r w:rsidRPr="001261B0">
              <w:rPr>
                <w:b/>
                <w:bCs/>
                <w:color w:val="000000"/>
                <w:sz w:val="22"/>
                <w:szCs w:val="22"/>
                <w:lang w:val="es-GT" w:eastAsia="es-GT"/>
              </w:rPr>
              <w:t>Diferencias 2016 - 2015</w:t>
            </w:r>
          </w:p>
        </w:tc>
      </w:tr>
      <w:tr w:rsidR="001261B0" w:rsidRPr="001261B0" w:rsidTr="001261B0">
        <w:trPr>
          <w:trHeight w:val="315"/>
        </w:trPr>
        <w:tc>
          <w:tcPr>
            <w:tcW w:w="3843" w:type="dxa"/>
            <w:vMerge/>
            <w:tcBorders>
              <w:top w:val="single" w:sz="12" w:space="0" w:color="auto"/>
              <w:left w:val="single" w:sz="12" w:space="0" w:color="auto"/>
              <w:bottom w:val="single" w:sz="12" w:space="0" w:color="000000"/>
              <w:right w:val="single" w:sz="4" w:space="0" w:color="auto"/>
            </w:tcBorders>
            <w:vAlign w:val="center"/>
            <w:hideMark/>
          </w:tcPr>
          <w:p w:rsidR="001261B0" w:rsidRPr="001261B0" w:rsidRDefault="001261B0" w:rsidP="001261B0">
            <w:pPr>
              <w:rPr>
                <w:b/>
                <w:bCs/>
                <w:color w:val="000000"/>
                <w:sz w:val="22"/>
                <w:szCs w:val="22"/>
                <w:lang w:val="es-GT" w:eastAsia="es-GT"/>
              </w:rPr>
            </w:pPr>
          </w:p>
        </w:tc>
        <w:tc>
          <w:tcPr>
            <w:tcW w:w="1417" w:type="dxa"/>
            <w:vMerge/>
            <w:tcBorders>
              <w:top w:val="single" w:sz="12" w:space="0" w:color="auto"/>
              <w:left w:val="single" w:sz="4" w:space="0" w:color="auto"/>
              <w:bottom w:val="single" w:sz="12" w:space="0" w:color="000000"/>
              <w:right w:val="single" w:sz="4" w:space="0" w:color="auto"/>
            </w:tcBorders>
            <w:vAlign w:val="center"/>
            <w:hideMark/>
          </w:tcPr>
          <w:p w:rsidR="001261B0" w:rsidRPr="001261B0" w:rsidRDefault="001261B0" w:rsidP="001261B0">
            <w:pPr>
              <w:rPr>
                <w:b/>
                <w:bCs/>
                <w:color w:val="000000"/>
                <w:sz w:val="22"/>
                <w:szCs w:val="22"/>
                <w:lang w:val="es-GT" w:eastAsia="es-GT"/>
              </w:rPr>
            </w:pPr>
          </w:p>
        </w:tc>
        <w:tc>
          <w:tcPr>
            <w:tcW w:w="1276" w:type="dxa"/>
            <w:vMerge/>
            <w:tcBorders>
              <w:top w:val="single" w:sz="12" w:space="0" w:color="auto"/>
              <w:left w:val="single" w:sz="4" w:space="0" w:color="auto"/>
              <w:bottom w:val="single" w:sz="12" w:space="0" w:color="000000"/>
              <w:right w:val="single" w:sz="4" w:space="0" w:color="auto"/>
            </w:tcBorders>
            <w:vAlign w:val="center"/>
            <w:hideMark/>
          </w:tcPr>
          <w:p w:rsidR="001261B0" w:rsidRPr="001261B0" w:rsidRDefault="001261B0" w:rsidP="001261B0">
            <w:pPr>
              <w:rPr>
                <w:b/>
                <w:bCs/>
                <w:color w:val="000000"/>
                <w:sz w:val="22"/>
                <w:szCs w:val="22"/>
                <w:lang w:val="es-GT" w:eastAsia="es-GT"/>
              </w:rPr>
            </w:pPr>
          </w:p>
        </w:tc>
        <w:tc>
          <w:tcPr>
            <w:tcW w:w="1276" w:type="dxa"/>
            <w:tcBorders>
              <w:top w:val="nil"/>
              <w:left w:val="nil"/>
              <w:bottom w:val="single" w:sz="12" w:space="0" w:color="auto"/>
              <w:right w:val="single" w:sz="4" w:space="0" w:color="auto"/>
            </w:tcBorders>
            <w:shd w:val="clear" w:color="000000" w:fill="8DB4E2"/>
            <w:noWrap/>
            <w:vAlign w:val="bottom"/>
            <w:hideMark/>
          </w:tcPr>
          <w:p w:rsidR="001261B0" w:rsidRPr="001261B0" w:rsidRDefault="001261B0" w:rsidP="001261B0">
            <w:pPr>
              <w:jc w:val="center"/>
              <w:rPr>
                <w:b/>
                <w:bCs/>
                <w:color w:val="000000"/>
                <w:sz w:val="22"/>
                <w:szCs w:val="22"/>
                <w:lang w:val="es-GT" w:eastAsia="es-GT"/>
              </w:rPr>
            </w:pPr>
            <w:r w:rsidRPr="001261B0">
              <w:rPr>
                <w:b/>
                <w:bCs/>
                <w:color w:val="000000"/>
                <w:sz w:val="22"/>
                <w:szCs w:val="22"/>
                <w:lang w:val="es-GT" w:eastAsia="es-GT"/>
              </w:rPr>
              <w:t>Absolutas</w:t>
            </w:r>
          </w:p>
        </w:tc>
        <w:tc>
          <w:tcPr>
            <w:tcW w:w="1275" w:type="dxa"/>
            <w:tcBorders>
              <w:top w:val="nil"/>
              <w:left w:val="single" w:sz="4" w:space="0" w:color="auto"/>
              <w:bottom w:val="single" w:sz="12" w:space="0" w:color="auto"/>
              <w:right w:val="single" w:sz="12" w:space="0" w:color="auto"/>
            </w:tcBorders>
            <w:shd w:val="clear" w:color="000000" w:fill="8DB4E2"/>
            <w:noWrap/>
            <w:vAlign w:val="bottom"/>
            <w:hideMark/>
          </w:tcPr>
          <w:p w:rsidR="001261B0" w:rsidRPr="001261B0" w:rsidRDefault="001261B0" w:rsidP="001261B0">
            <w:pPr>
              <w:jc w:val="center"/>
              <w:rPr>
                <w:b/>
                <w:bCs/>
                <w:color w:val="000000"/>
                <w:sz w:val="22"/>
                <w:szCs w:val="22"/>
                <w:lang w:val="es-GT" w:eastAsia="es-GT"/>
              </w:rPr>
            </w:pPr>
            <w:r w:rsidRPr="001261B0">
              <w:rPr>
                <w:b/>
                <w:bCs/>
                <w:color w:val="000000"/>
                <w:sz w:val="22"/>
                <w:szCs w:val="22"/>
                <w:lang w:val="es-GT" w:eastAsia="es-GT"/>
              </w:rPr>
              <w:t>Relativas</w:t>
            </w:r>
          </w:p>
        </w:tc>
      </w:tr>
      <w:tr w:rsidR="001261B0" w:rsidRPr="001261B0" w:rsidTr="001261B0">
        <w:trPr>
          <w:trHeight w:val="390"/>
        </w:trPr>
        <w:tc>
          <w:tcPr>
            <w:tcW w:w="3843" w:type="dxa"/>
            <w:tcBorders>
              <w:top w:val="nil"/>
              <w:left w:val="single" w:sz="12" w:space="0" w:color="auto"/>
              <w:bottom w:val="nil"/>
              <w:right w:val="single" w:sz="4" w:space="0" w:color="auto"/>
            </w:tcBorders>
            <w:shd w:val="clear" w:color="000000" w:fill="FFFFFF"/>
            <w:noWrap/>
            <w:vAlign w:val="bottom"/>
            <w:hideMark/>
          </w:tcPr>
          <w:p w:rsidR="001261B0" w:rsidRPr="001261B0" w:rsidRDefault="001261B0" w:rsidP="001261B0">
            <w:pPr>
              <w:jc w:val="center"/>
              <w:rPr>
                <w:b/>
                <w:bCs/>
                <w:color w:val="000000"/>
                <w:sz w:val="22"/>
                <w:szCs w:val="22"/>
                <w:lang w:val="es-GT" w:eastAsia="es-GT"/>
              </w:rPr>
            </w:pPr>
            <w:r w:rsidRPr="001261B0">
              <w:rPr>
                <w:b/>
                <w:bCs/>
                <w:color w:val="000000"/>
                <w:sz w:val="22"/>
                <w:szCs w:val="22"/>
                <w:lang w:val="es-GT" w:eastAsia="es-GT"/>
              </w:rPr>
              <w:t>Total</w:t>
            </w:r>
          </w:p>
        </w:tc>
        <w:tc>
          <w:tcPr>
            <w:tcW w:w="1417" w:type="dxa"/>
            <w:tcBorders>
              <w:top w:val="nil"/>
              <w:left w:val="nil"/>
              <w:bottom w:val="nil"/>
              <w:right w:val="single" w:sz="4" w:space="0" w:color="auto"/>
            </w:tcBorders>
            <w:shd w:val="clear" w:color="000000" w:fill="FFFFFF"/>
            <w:noWrap/>
            <w:vAlign w:val="bottom"/>
            <w:hideMark/>
          </w:tcPr>
          <w:p w:rsidR="001261B0" w:rsidRPr="001261B0" w:rsidRDefault="001261B0" w:rsidP="001261B0">
            <w:pPr>
              <w:jc w:val="right"/>
              <w:rPr>
                <w:b/>
                <w:bCs/>
                <w:color w:val="000000"/>
                <w:sz w:val="22"/>
                <w:szCs w:val="22"/>
                <w:lang w:val="es-GT" w:eastAsia="es-GT"/>
              </w:rPr>
            </w:pPr>
            <w:r w:rsidRPr="001261B0">
              <w:rPr>
                <w:b/>
                <w:bCs/>
                <w:color w:val="000000"/>
                <w:sz w:val="22"/>
                <w:szCs w:val="22"/>
                <w:lang w:val="es-GT" w:eastAsia="es-GT"/>
              </w:rPr>
              <w:t>31,074.4</w:t>
            </w:r>
          </w:p>
        </w:tc>
        <w:tc>
          <w:tcPr>
            <w:tcW w:w="1276" w:type="dxa"/>
            <w:tcBorders>
              <w:top w:val="nil"/>
              <w:left w:val="nil"/>
              <w:bottom w:val="nil"/>
              <w:right w:val="single" w:sz="4" w:space="0" w:color="auto"/>
            </w:tcBorders>
            <w:shd w:val="clear" w:color="000000" w:fill="FFFFFF"/>
            <w:noWrap/>
            <w:vAlign w:val="bottom"/>
            <w:hideMark/>
          </w:tcPr>
          <w:p w:rsidR="001261B0" w:rsidRPr="001261B0" w:rsidRDefault="001261B0" w:rsidP="001261B0">
            <w:pPr>
              <w:jc w:val="right"/>
              <w:rPr>
                <w:b/>
                <w:bCs/>
                <w:color w:val="000000"/>
                <w:sz w:val="22"/>
                <w:szCs w:val="22"/>
                <w:lang w:val="es-GT" w:eastAsia="es-GT"/>
              </w:rPr>
            </w:pPr>
            <w:r w:rsidRPr="001261B0">
              <w:rPr>
                <w:b/>
                <w:bCs/>
                <w:color w:val="000000"/>
                <w:sz w:val="22"/>
                <w:szCs w:val="22"/>
                <w:lang w:val="es-GT" w:eastAsia="es-GT"/>
              </w:rPr>
              <w:t>28,650.0</w:t>
            </w:r>
          </w:p>
        </w:tc>
        <w:tc>
          <w:tcPr>
            <w:tcW w:w="1276" w:type="dxa"/>
            <w:tcBorders>
              <w:top w:val="nil"/>
              <w:left w:val="nil"/>
              <w:bottom w:val="nil"/>
              <w:right w:val="single" w:sz="4" w:space="0" w:color="auto"/>
            </w:tcBorders>
            <w:shd w:val="clear" w:color="000000" w:fill="FFFFFF"/>
            <w:noWrap/>
            <w:vAlign w:val="bottom"/>
            <w:hideMark/>
          </w:tcPr>
          <w:p w:rsidR="001261B0" w:rsidRPr="001261B0" w:rsidRDefault="001261B0" w:rsidP="001261B0">
            <w:pPr>
              <w:jc w:val="right"/>
              <w:rPr>
                <w:b/>
                <w:bCs/>
                <w:color w:val="000000"/>
                <w:sz w:val="22"/>
                <w:szCs w:val="22"/>
                <w:lang w:val="es-GT" w:eastAsia="es-GT"/>
              </w:rPr>
            </w:pPr>
            <w:r w:rsidRPr="001261B0">
              <w:rPr>
                <w:b/>
                <w:bCs/>
                <w:color w:val="000000"/>
                <w:sz w:val="22"/>
                <w:szCs w:val="22"/>
                <w:lang w:val="es-GT" w:eastAsia="es-GT"/>
              </w:rPr>
              <w:t>-2,424.4</w:t>
            </w:r>
          </w:p>
        </w:tc>
        <w:tc>
          <w:tcPr>
            <w:tcW w:w="1275" w:type="dxa"/>
            <w:tcBorders>
              <w:top w:val="nil"/>
              <w:left w:val="nil"/>
              <w:bottom w:val="nil"/>
              <w:right w:val="single" w:sz="12" w:space="0" w:color="auto"/>
            </w:tcBorders>
            <w:shd w:val="clear" w:color="auto" w:fill="auto"/>
            <w:noWrap/>
            <w:vAlign w:val="bottom"/>
            <w:hideMark/>
          </w:tcPr>
          <w:p w:rsidR="001261B0" w:rsidRPr="001261B0" w:rsidRDefault="001261B0" w:rsidP="001261B0">
            <w:pPr>
              <w:jc w:val="right"/>
              <w:rPr>
                <w:b/>
                <w:bCs/>
                <w:color w:val="000000"/>
                <w:sz w:val="22"/>
                <w:szCs w:val="22"/>
                <w:lang w:val="es-GT" w:eastAsia="es-GT"/>
              </w:rPr>
            </w:pPr>
            <w:r w:rsidRPr="001261B0">
              <w:rPr>
                <w:b/>
                <w:bCs/>
                <w:color w:val="000000"/>
                <w:sz w:val="22"/>
                <w:szCs w:val="22"/>
                <w:lang w:val="es-GT" w:eastAsia="es-GT"/>
              </w:rPr>
              <w:t>-7.8%</w:t>
            </w:r>
          </w:p>
        </w:tc>
      </w:tr>
      <w:tr w:rsidR="001261B0" w:rsidRPr="001261B0" w:rsidTr="001261B0">
        <w:trPr>
          <w:trHeight w:val="300"/>
        </w:trPr>
        <w:tc>
          <w:tcPr>
            <w:tcW w:w="3843" w:type="dxa"/>
            <w:tcBorders>
              <w:top w:val="nil"/>
              <w:left w:val="single" w:sz="12" w:space="0" w:color="auto"/>
              <w:bottom w:val="nil"/>
              <w:right w:val="single" w:sz="4" w:space="0" w:color="auto"/>
            </w:tcBorders>
            <w:shd w:val="clear" w:color="000000" w:fill="FFFFFF"/>
            <w:noWrap/>
            <w:vAlign w:val="bottom"/>
            <w:hideMark/>
          </w:tcPr>
          <w:p w:rsidR="001261B0" w:rsidRPr="001261B0" w:rsidRDefault="001261B0" w:rsidP="001261B0">
            <w:pPr>
              <w:rPr>
                <w:color w:val="000000"/>
                <w:sz w:val="22"/>
                <w:szCs w:val="22"/>
                <w:lang w:val="es-GT" w:eastAsia="es-GT"/>
              </w:rPr>
            </w:pPr>
            <w:r w:rsidRPr="001261B0">
              <w:rPr>
                <w:color w:val="000000"/>
                <w:sz w:val="22"/>
                <w:szCs w:val="22"/>
                <w:lang w:val="es-GT" w:eastAsia="es-GT"/>
              </w:rPr>
              <w:t>Gastos de Funcionamiento</w:t>
            </w:r>
          </w:p>
        </w:tc>
        <w:tc>
          <w:tcPr>
            <w:tcW w:w="1417" w:type="dxa"/>
            <w:tcBorders>
              <w:top w:val="nil"/>
              <w:left w:val="nil"/>
              <w:bottom w:val="nil"/>
              <w:right w:val="single" w:sz="4" w:space="0" w:color="auto"/>
            </w:tcBorders>
            <w:shd w:val="clear" w:color="000000" w:fill="FFFFFF"/>
            <w:noWrap/>
            <w:vAlign w:val="bottom"/>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20,657.8</w:t>
            </w:r>
          </w:p>
        </w:tc>
        <w:tc>
          <w:tcPr>
            <w:tcW w:w="1276" w:type="dxa"/>
            <w:tcBorders>
              <w:top w:val="nil"/>
              <w:left w:val="nil"/>
              <w:bottom w:val="nil"/>
              <w:right w:val="single" w:sz="4" w:space="0" w:color="auto"/>
            </w:tcBorders>
            <w:shd w:val="clear" w:color="000000" w:fill="FFFFFF"/>
            <w:noWrap/>
            <w:vAlign w:val="bottom"/>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19,520.3</w:t>
            </w:r>
          </w:p>
        </w:tc>
        <w:tc>
          <w:tcPr>
            <w:tcW w:w="1276" w:type="dxa"/>
            <w:tcBorders>
              <w:top w:val="nil"/>
              <w:left w:val="nil"/>
              <w:bottom w:val="nil"/>
              <w:right w:val="single" w:sz="4" w:space="0" w:color="auto"/>
            </w:tcBorders>
            <w:shd w:val="clear" w:color="000000" w:fill="FFFFFF"/>
            <w:noWrap/>
            <w:vAlign w:val="bottom"/>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-1,137.5</w:t>
            </w:r>
          </w:p>
        </w:tc>
        <w:tc>
          <w:tcPr>
            <w:tcW w:w="1275" w:type="dxa"/>
            <w:tcBorders>
              <w:top w:val="nil"/>
              <w:left w:val="nil"/>
              <w:bottom w:val="nil"/>
              <w:right w:val="single" w:sz="12" w:space="0" w:color="auto"/>
            </w:tcBorders>
            <w:shd w:val="clear" w:color="auto" w:fill="auto"/>
            <w:noWrap/>
            <w:vAlign w:val="bottom"/>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-5.5%</w:t>
            </w:r>
          </w:p>
        </w:tc>
      </w:tr>
      <w:tr w:rsidR="001261B0" w:rsidRPr="001261B0" w:rsidTr="001261B0">
        <w:trPr>
          <w:trHeight w:val="300"/>
        </w:trPr>
        <w:tc>
          <w:tcPr>
            <w:tcW w:w="3843" w:type="dxa"/>
            <w:tcBorders>
              <w:top w:val="nil"/>
              <w:left w:val="single" w:sz="12" w:space="0" w:color="auto"/>
              <w:bottom w:val="nil"/>
              <w:right w:val="single" w:sz="4" w:space="0" w:color="auto"/>
            </w:tcBorders>
            <w:shd w:val="clear" w:color="000000" w:fill="FFFFFF"/>
            <w:noWrap/>
            <w:vAlign w:val="bottom"/>
            <w:hideMark/>
          </w:tcPr>
          <w:p w:rsidR="001261B0" w:rsidRPr="001261B0" w:rsidRDefault="001261B0" w:rsidP="001261B0">
            <w:pPr>
              <w:rPr>
                <w:color w:val="000000"/>
                <w:sz w:val="22"/>
                <w:szCs w:val="22"/>
                <w:lang w:val="es-GT" w:eastAsia="es-GT"/>
              </w:rPr>
            </w:pPr>
            <w:r w:rsidRPr="001261B0">
              <w:rPr>
                <w:color w:val="000000"/>
                <w:sz w:val="22"/>
                <w:szCs w:val="22"/>
                <w:lang w:val="es-GT" w:eastAsia="es-GT"/>
              </w:rPr>
              <w:t>Inversión</w:t>
            </w:r>
          </w:p>
        </w:tc>
        <w:tc>
          <w:tcPr>
            <w:tcW w:w="1417" w:type="dxa"/>
            <w:tcBorders>
              <w:top w:val="nil"/>
              <w:left w:val="nil"/>
              <w:bottom w:val="nil"/>
              <w:right w:val="single" w:sz="4" w:space="0" w:color="auto"/>
            </w:tcBorders>
            <w:shd w:val="clear" w:color="000000" w:fill="FFFFFF"/>
            <w:noWrap/>
            <w:vAlign w:val="bottom"/>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5,262.1</w:t>
            </w:r>
          </w:p>
        </w:tc>
        <w:tc>
          <w:tcPr>
            <w:tcW w:w="1276" w:type="dxa"/>
            <w:tcBorders>
              <w:top w:val="nil"/>
              <w:left w:val="nil"/>
              <w:bottom w:val="nil"/>
              <w:right w:val="single" w:sz="4" w:space="0" w:color="auto"/>
            </w:tcBorders>
            <w:shd w:val="clear" w:color="000000" w:fill="FFFFFF"/>
            <w:noWrap/>
            <w:vAlign w:val="bottom"/>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4,037.1</w:t>
            </w:r>
          </w:p>
        </w:tc>
        <w:tc>
          <w:tcPr>
            <w:tcW w:w="1276" w:type="dxa"/>
            <w:tcBorders>
              <w:top w:val="nil"/>
              <w:left w:val="nil"/>
              <w:bottom w:val="nil"/>
              <w:right w:val="single" w:sz="4" w:space="0" w:color="auto"/>
            </w:tcBorders>
            <w:shd w:val="clear" w:color="000000" w:fill="FFFFFF"/>
            <w:noWrap/>
            <w:vAlign w:val="bottom"/>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-1,225.0</w:t>
            </w:r>
          </w:p>
        </w:tc>
        <w:tc>
          <w:tcPr>
            <w:tcW w:w="1275" w:type="dxa"/>
            <w:tcBorders>
              <w:top w:val="nil"/>
              <w:left w:val="nil"/>
              <w:bottom w:val="nil"/>
              <w:right w:val="single" w:sz="12" w:space="0" w:color="auto"/>
            </w:tcBorders>
            <w:shd w:val="clear" w:color="auto" w:fill="auto"/>
            <w:noWrap/>
            <w:vAlign w:val="bottom"/>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-23.3%</w:t>
            </w:r>
          </w:p>
        </w:tc>
      </w:tr>
      <w:tr w:rsidR="001261B0" w:rsidRPr="001261B0" w:rsidTr="001261B0">
        <w:trPr>
          <w:trHeight w:val="315"/>
        </w:trPr>
        <w:tc>
          <w:tcPr>
            <w:tcW w:w="3843" w:type="dxa"/>
            <w:tcBorders>
              <w:top w:val="nil"/>
              <w:left w:val="single" w:sz="12" w:space="0" w:color="auto"/>
              <w:bottom w:val="single" w:sz="8" w:space="0" w:color="auto"/>
              <w:right w:val="single" w:sz="4" w:space="0" w:color="auto"/>
            </w:tcBorders>
            <w:shd w:val="clear" w:color="000000" w:fill="FFFFFF"/>
            <w:noWrap/>
            <w:vAlign w:val="bottom"/>
            <w:hideMark/>
          </w:tcPr>
          <w:p w:rsidR="001261B0" w:rsidRPr="001261B0" w:rsidRDefault="001261B0" w:rsidP="001261B0">
            <w:pPr>
              <w:rPr>
                <w:color w:val="000000"/>
                <w:sz w:val="22"/>
                <w:szCs w:val="22"/>
                <w:lang w:val="es-GT" w:eastAsia="es-GT"/>
              </w:rPr>
            </w:pPr>
            <w:r w:rsidRPr="001261B0">
              <w:rPr>
                <w:color w:val="000000"/>
                <w:sz w:val="22"/>
                <w:szCs w:val="22"/>
                <w:lang w:val="es-GT" w:eastAsia="es-GT"/>
              </w:rPr>
              <w:t>Deuda Pública</w:t>
            </w:r>
          </w:p>
        </w:tc>
        <w:tc>
          <w:tcPr>
            <w:tcW w:w="1417" w:type="dxa"/>
            <w:tcBorders>
              <w:top w:val="nil"/>
              <w:left w:val="nil"/>
              <w:bottom w:val="single" w:sz="8" w:space="0" w:color="auto"/>
              <w:right w:val="single" w:sz="4" w:space="0" w:color="auto"/>
            </w:tcBorders>
            <w:shd w:val="clear" w:color="000000" w:fill="FFFFFF"/>
            <w:noWrap/>
            <w:vAlign w:val="bottom"/>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5,154.5</w:t>
            </w:r>
          </w:p>
        </w:tc>
        <w:tc>
          <w:tcPr>
            <w:tcW w:w="1276" w:type="dxa"/>
            <w:tcBorders>
              <w:top w:val="nil"/>
              <w:left w:val="nil"/>
              <w:bottom w:val="single" w:sz="8" w:space="0" w:color="auto"/>
              <w:right w:val="single" w:sz="4" w:space="0" w:color="auto"/>
            </w:tcBorders>
            <w:shd w:val="clear" w:color="000000" w:fill="FFFFFF"/>
            <w:noWrap/>
            <w:vAlign w:val="bottom"/>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5,092.6</w:t>
            </w:r>
          </w:p>
        </w:tc>
        <w:tc>
          <w:tcPr>
            <w:tcW w:w="1276" w:type="dxa"/>
            <w:tcBorders>
              <w:top w:val="nil"/>
              <w:left w:val="nil"/>
              <w:bottom w:val="single" w:sz="8" w:space="0" w:color="auto"/>
              <w:right w:val="single" w:sz="4" w:space="0" w:color="auto"/>
            </w:tcBorders>
            <w:shd w:val="clear" w:color="000000" w:fill="FFFFFF"/>
            <w:noWrap/>
            <w:vAlign w:val="bottom"/>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-61.9</w:t>
            </w:r>
          </w:p>
        </w:tc>
        <w:tc>
          <w:tcPr>
            <w:tcW w:w="1275" w:type="dxa"/>
            <w:tcBorders>
              <w:top w:val="nil"/>
              <w:left w:val="nil"/>
              <w:bottom w:val="single" w:sz="8" w:space="0" w:color="auto"/>
              <w:right w:val="single" w:sz="12" w:space="0" w:color="auto"/>
            </w:tcBorders>
            <w:shd w:val="clear" w:color="auto" w:fill="auto"/>
            <w:noWrap/>
            <w:vAlign w:val="bottom"/>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-1.2%</w:t>
            </w:r>
          </w:p>
        </w:tc>
      </w:tr>
      <w:tr w:rsidR="001261B0" w:rsidRPr="001261B0" w:rsidTr="001261B0">
        <w:trPr>
          <w:trHeight w:val="390"/>
        </w:trPr>
        <w:tc>
          <w:tcPr>
            <w:tcW w:w="3843" w:type="dxa"/>
            <w:tcBorders>
              <w:top w:val="nil"/>
              <w:left w:val="single" w:sz="12" w:space="0" w:color="auto"/>
              <w:bottom w:val="single" w:sz="12" w:space="0" w:color="auto"/>
              <w:right w:val="single" w:sz="4" w:space="0" w:color="auto"/>
            </w:tcBorders>
            <w:shd w:val="clear" w:color="000000" w:fill="FFFFFF"/>
            <w:vAlign w:val="bottom"/>
            <w:hideMark/>
          </w:tcPr>
          <w:p w:rsidR="001261B0" w:rsidRPr="001261B0" w:rsidRDefault="001261B0" w:rsidP="001261B0">
            <w:pPr>
              <w:rPr>
                <w:color w:val="000000"/>
                <w:sz w:val="22"/>
                <w:szCs w:val="22"/>
                <w:lang w:val="es-GT" w:eastAsia="es-GT"/>
              </w:rPr>
            </w:pPr>
            <w:r w:rsidRPr="001261B0">
              <w:rPr>
                <w:color w:val="000000"/>
                <w:sz w:val="22"/>
                <w:szCs w:val="22"/>
                <w:lang w:val="es-GT" w:eastAsia="es-GT"/>
              </w:rPr>
              <w:t>Porcentaje de Ejecución Presupuestaria</w:t>
            </w:r>
          </w:p>
        </w:tc>
        <w:tc>
          <w:tcPr>
            <w:tcW w:w="1417" w:type="dxa"/>
            <w:tcBorders>
              <w:top w:val="nil"/>
              <w:left w:val="nil"/>
              <w:bottom w:val="single" w:sz="12" w:space="0" w:color="auto"/>
              <w:right w:val="single" w:sz="4" w:space="0" w:color="auto"/>
            </w:tcBorders>
            <w:shd w:val="clear" w:color="000000" w:fill="FFFFFF"/>
            <w:noWrap/>
            <w:vAlign w:val="center"/>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43.9%</w:t>
            </w:r>
          </w:p>
        </w:tc>
        <w:tc>
          <w:tcPr>
            <w:tcW w:w="1276" w:type="dxa"/>
            <w:tcBorders>
              <w:top w:val="nil"/>
              <w:left w:val="nil"/>
              <w:bottom w:val="single" w:sz="12" w:space="0" w:color="auto"/>
              <w:right w:val="single" w:sz="4" w:space="0" w:color="auto"/>
            </w:tcBorders>
            <w:shd w:val="clear" w:color="000000" w:fill="FFFFFF"/>
            <w:noWrap/>
            <w:vAlign w:val="center"/>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40.3%</w:t>
            </w:r>
          </w:p>
        </w:tc>
        <w:tc>
          <w:tcPr>
            <w:tcW w:w="1276" w:type="dxa"/>
            <w:tcBorders>
              <w:top w:val="nil"/>
              <w:left w:val="nil"/>
              <w:bottom w:val="single" w:sz="12" w:space="0" w:color="auto"/>
              <w:right w:val="single" w:sz="4" w:space="0" w:color="auto"/>
            </w:tcBorders>
            <w:shd w:val="clear" w:color="000000" w:fill="FFFFFF"/>
            <w:noWrap/>
            <w:vAlign w:val="center"/>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 </w:t>
            </w:r>
          </w:p>
        </w:tc>
        <w:tc>
          <w:tcPr>
            <w:tcW w:w="1275" w:type="dxa"/>
            <w:tcBorders>
              <w:top w:val="nil"/>
              <w:left w:val="single" w:sz="4" w:space="0" w:color="auto"/>
              <w:bottom w:val="single" w:sz="12" w:space="0" w:color="auto"/>
              <w:right w:val="single" w:sz="12" w:space="0" w:color="auto"/>
            </w:tcBorders>
            <w:shd w:val="clear" w:color="auto" w:fill="auto"/>
            <w:noWrap/>
            <w:vAlign w:val="bottom"/>
            <w:hideMark/>
          </w:tcPr>
          <w:p w:rsidR="001261B0" w:rsidRPr="001261B0" w:rsidRDefault="001261B0" w:rsidP="001261B0">
            <w:pPr>
              <w:jc w:val="right"/>
              <w:rPr>
                <w:color w:val="000000"/>
                <w:sz w:val="22"/>
                <w:szCs w:val="22"/>
                <w:lang w:val="es-GT" w:eastAsia="es-GT"/>
              </w:rPr>
            </w:pPr>
            <w:r w:rsidRPr="001261B0">
              <w:rPr>
                <w:color w:val="000000"/>
                <w:sz w:val="22"/>
                <w:szCs w:val="22"/>
                <w:lang w:val="es-GT" w:eastAsia="es-GT"/>
              </w:rPr>
              <w:t>-7.8%</w:t>
            </w:r>
          </w:p>
        </w:tc>
      </w:tr>
    </w:tbl>
    <w:p w:rsidR="00FB641E" w:rsidRPr="003115F3" w:rsidRDefault="00FB641E" w:rsidP="00FB641E">
      <w:pPr>
        <w:rPr>
          <w:sz w:val="16"/>
          <w:lang w:val="es-MX"/>
        </w:rPr>
      </w:pPr>
      <w:r w:rsidRPr="003115F3">
        <w:rPr>
          <w:sz w:val="16"/>
          <w:lang w:val="es-MX"/>
        </w:rPr>
        <w:t>Fuente: Ministerio de Finanzas Públicas con base al SICOIN.</w:t>
      </w:r>
    </w:p>
    <w:p w:rsidR="00FB641E" w:rsidRPr="003115F3" w:rsidRDefault="00FB641E" w:rsidP="00FB641E">
      <w:pPr>
        <w:rPr>
          <w:sz w:val="16"/>
          <w:lang w:val="es-MX"/>
        </w:rPr>
      </w:pPr>
      <w:r w:rsidRPr="003115F3">
        <w:rPr>
          <w:sz w:val="16"/>
          <w:lang w:val="es-MX"/>
        </w:rPr>
        <w:t>* Cifras preliminares.</w:t>
      </w:r>
    </w:p>
    <w:p w:rsidR="00FB641E" w:rsidRPr="00FB641E" w:rsidRDefault="00FB641E" w:rsidP="00FB641E">
      <w:pPr>
        <w:rPr>
          <w:sz w:val="18"/>
          <w:lang w:val="es-MX"/>
        </w:rPr>
      </w:pPr>
    </w:p>
    <w:p w:rsidR="00FB641E" w:rsidRPr="00FB641E" w:rsidRDefault="00FB641E" w:rsidP="00FB641E">
      <w:pPr>
        <w:keepNext/>
        <w:keepLines/>
        <w:numPr>
          <w:ilvl w:val="2"/>
          <w:numId w:val="5"/>
        </w:numPr>
        <w:spacing w:before="200"/>
        <w:outlineLvl w:val="2"/>
        <w:rPr>
          <w:b/>
          <w:bCs/>
          <w:lang w:val="es-MX"/>
        </w:rPr>
      </w:pPr>
      <w:bookmarkStart w:id="10" w:name="_Toc460422670"/>
      <w:r w:rsidRPr="00FB641E">
        <w:rPr>
          <w:b/>
          <w:bCs/>
          <w:lang w:val="es-MX"/>
        </w:rPr>
        <w:t>Destino del gasto por cuenta económica</w:t>
      </w:r>
      <w:bookmarkEnd w:id="10"/>
    </w:p>
    <w:p w:rsidR="00FB641E" w:rsidRPr="00FB641E" w:rsidRDefault="00FB641E" w:rsidP="00FB641E">
      <w:pPr>
        <w:jc w:val="both"/>
        <w:rPr>
          <w:sz w:val="32"/>
          <w:lang w:val="es-MX"/>
        </w:rPr>
      </w:pPr>
    </w:p>
    <w:p w:rsidR="00FB641E" w:rsidRPr="00FB641E" w:rsidRDefault="00FB641E" w:rsidP="00FB641E">
      <w:pPr>
        <w:jc w:val="both"/>
        <w:rPr>
          <w:lang w:val="es-MX"/>
        </w:rPr>
      </w:pPr>
      <w:r w:rsidRPr="00FB641E">
        <w:rPr>
          <w:lang w:val="es-MX"/>
        </w:rPr>
        <w:t>Los gastos totales al 30 de junio de 2016 (sin incluir amortizaciones de la deuda pública), fueron de Q27,339.1 millones, que representan una disminución de Q2,435.6 millones, respecto de la ejecución a la misma fecha en 2015, la cual ascendió a Q29,774.6 millones. Esta disminución se produjo en los Gastos Corrientes, afectando principalmente los rubros de bienes y servicios en Q1,291.0 millones; asimismo se redujeron las transferencias</w:t>
      </w:r>
      <w:r w:rsidR="005D688B">
        <w:rPr>
          <w:lang w:val="es-MX"/>
        </w:rPr>
        <w:t xml:space="preserve"> corrientes</w:t>
      </w:r>
      <w:r w:rsidRPr="00FB641E">
        <w:rPr>
          <w:lang w:val="es-MX"/>
        </w:rPr>
        <w:t xml:space="preserve"> de la Administración Central</w:t>
      </w:r>
      <w:r w:rsidR="005D688B">
        <w:rPr>
          <w:lang w:val="es-MX"/>
        </w:rPr>
        <w:t xml:space="preserve"> en Q184.8 millones</w:t>
      </w:r>
      <w:r w:rsidR="001335CF">
        <w:rPr>
          <w:lang w:val="es-MX"/>
        </w:rPr>
        <w:t>, principalmente los aportes</w:t>
      </w:r>
      <w:r w:rsidRPr="00FB641E">
        <w:rPr>
          <w:lang w:val="es-MX"/>
        </w:rPr>
        <w:t xml:space="preserve"> a las entidades descentralizadas y autónomas, cuyos montos guardan relación directa con la estacionalidad y el nivel de recaudación de los ingresos</w:t>
      </w:r>
      <w:r w:rsidR="001335CF">
        <w:rPr>
          <w:lang w:val="es-MX"/>
        </w:rPr>
        <w:t>. A</w:t>
      </w:r>
      <w:r w:rsidRPr="00FB641E">
        <w:rPr>
          <w:lang w:val="es-MX"/>
        </w:rPr>
        <w:t>demás, como el 2015 fue un año electoral, a esa fecha se habían trasladado Q568.3 millones al Tribunal Supremo Electoral (TSE) para cubrir los gastos que ocasionó el proceso electoral, monto que no es recurrente en el 2016.</w:t>
      </w:r>
      <w:r w:rsidR="00C40175">
        <w:rPr>
          <w:lang w:val="es-MX"/>
        </w:rPr>
        <w:t xml:space="preserve"> </w:t>
      </w:r>
      <w:r w:rsidR="001335CF">
        <w:rPr>
          <w:lang w:val="es-MX"/>
        </w:rPr>
        <w:t>Por otro lado,</w:t>
      </w:r>
      <w:r w:rsidR="00C40175">
        <w:rPr>
          <w:lang w:val="es-MX"/>
        </w:rPr>
        <w:t xml:space="preserve"> a principios de año asumieron las nuevas autoridades de Gobierno, por lo que siguió un proceso de adaptación y acoplamientos del nuevo personal contratado, situación que hizo lenta la ejecución presupuestaria de los primeros meses del año. A</w:t>
      </w:r>
      <w:r w:rsidR="00133286">
        <w:rPr>
          <w:lang w:val="es-MX"/>
        </w:rPr>
        <w:t>simismo</w:t>
      </w:r>
      <w:r w:rsidR="00C40175">
        <w:rPr>
          <w:lang w:val="es-MX"/>
        </w:rPr>
        <w:t xml:space="preserve">, el presupuesto de 2016 presenta una serie de “candados” a nivel de distintos Ministerios y Secretarías, lo que provoca rigideces </w:t>
      </w:r>
      <w:r w:rsidR="001335CF">
        <w:rPr>
          <w:lang w:val="es-MX"/>
        </w:rPr>
        <w:t>en</w:t>
      </w:r>
      <w:r w:rsidR="00C40175">
        <w:rPr>
          <w:lang w:val="es-MX"/>
        </w:rPr>
        <w:t xml:space="preserve"> la ejecución presupuestaria.</w:t>
      </w:r>
    </w:p>
    <w:p w:rsidR="00FB641E" w:rsidRPr="00FB641E" w:rsidRDefault="00FB641E" w:rsidP="00FB641E">
      <w:pPr>
        <w:jc w:val="both"/>
        <w:rPr>
          <w:sz w:val="32"/>
          <w:lang w:val="es-MX"/>
        </w:rPr>
      </w:pPr>
    </w:p>
    <w:p w:rsidR="00FB641E" w:rsidRPr="00FB641E" w:rsidRDefault="00FB641E" w:rsidP="00FB641E">
      <w:pPr>
        <w:jc w:val="both"/>
        <w:rPr>
          <w:lang w:val="es-MX"/>
        </w:rPr>
      </w:pPr>
      <w:r w:rsidRPr="00FB641E">
        <w:rPr>
          <w:lang w:val="es-MX"/>
        </w:rPr>
        <w:lastRenderedPageBreak/>
        <w:t xml:space="preserve">En cuanto a los Gastos de Capital, estos se redujeron en Q1,224.9 millones respecto al mismo período de 2015, teniendo su principal impacto en la Inversión Real Directa, la cual disminuyó en Q822.8 millones y las Transferencias de Capital que disminuyeron Q402.1 millones, principalmente por el </w:t>
      </w:r>
      <w:r w:rsidR="00D20002" w:rsidRPr="00FB641E">
        <w:rPr>
          <w:lang w:val="es-MX"/>
        </w:rPr>
        <w:t xml:space="preserve">bajo </w:t>
      </w:r>
      <w:r w:rsidR="001335CF">
        <w:rPr>
          <w:lang w:val="es-MX"/>
        </w:rPr>
        <w:t>nivel</w:t>
      </w:r>
      <w:r w:rsidRPr="00FB641E">
        <w:rPr>
          <w:lang w:val="es-MX"/>
        </w:rPr>
        <w:t xml:space="preserve"> de ejecución de los proyectos a cargo de los Consejos D</w:t>
      </w:r>
      <w:r w:rsidR="00D20002">
        <w:rPr>
          <w:lang w:val="es-MX"/>
        </w:rPr>
        <w:t>epartamentales de Desarrollo</w:t>
      </w:r>
      <w:r w:rsidR="00A5208E">
        <w:rPr>
          <w:lang w:val="es-MX"/>
        </w:rPr>
        <w:t>, en virtud del tiempo que les llevó efectuar sus reprogramaciones de obras, tal como lo establec</w:t>
      </w:r>
      <w:r w:rsidR="00250BE9">
        <w:rPr>
          <w:lang w:val="es-MX"/>
        </w:rPr>
        <w:t>e</w:t>
      </w:r>
      <w:r w:rsidR="00A5208E">
        <w:rPr>
          <w:lang w:val="es-MX"/>
        </w:rPr>
        <w:t xml:space="preserve"> el artículo 41 del Decreto No. 14-2015 que aprobó el Presupuesto General de Ingresos y Egresos del Estado para el Ejercicio Fiscal 2016</w:t>
      </w:r>
      <w:r w:rsidRPr="00FB641E">
        <w:rPr>
          <w:lang w:val="es-MX"/>
        </w:rPr>
        <w:t>.</w:t>
      </w:r>
      <w:r w:rsidR="00D20002">
        <w:rPr>
          <w:lang w:val="es-MX"/>
        </w:rPr>
        <w:t xml:space="preserve"> </w:t>
      </w:r>
      <w:r w:rsidRPr="00FB641E">
        <w:rPr>
          <w:lang w:val="es-MX"/>
        </w:rPr>
        <w:t xml:space="preserve">Con el objeto de comparar las cifras de ejecución al 30 de junio de 2016, a los gastos totales </w:t>
      </w:r>
      <w:r w:rsidR="00BA01AE">
        <w:rPr>
          <w:lang w:val="es-MX"/>
        </w:rPr>
        <w:t xml:space="preserve">deben </w:t>
      </w:r>
      <w:r w:rsidRPr="00FB641E">
        <w:rPr>
          <w:lang w:val="es-MX"/>
        </w:rPr>
        <w:t>adicionar</w:t>
      </w:r>
      <w:r w:rsidR="00BA01AE">
        <w:rPr>
          <w:lang w:val="es-MX"/>
        </w:rPr>
        <w:t xml:space="preserve">se </w:t>
      </w:r>
      <w:r w:rsidRPr="00FB641E">
        <w:rPr>
          <w:lang w:val="es-MX"/>
        </w:rPr>
        <w:t xml:space="preserve">las amortizaciones de la deuda pública, las </w:t>
      </w:r>
      <w:r w:rsidR="00BA01AE">
        <w:rPr>
          <w:lang w:val="es-MX"/>
        </w:rPr>
        <w:t>que</w:t>
      </w:r>
      <w:r w:rsidRPr="00FB641E">
        <w:rPr>
          <w:lang w:val="es-MX"/>
        </w:rPr>
        <w:t xml:space="preserve"> alcanzaron un monto de Q1,310.9, </w:t>
      </w:r>
      <w:r w:rsidR="00BA01AE">
        <w:rPr>
          <w:lang w:val="es-MX"/>
        </w:rPr>
        <w:t>(</w:t>
      </w:r>
      <w:r w:rsidRPr="00FB641E">
        <w:rPr>
          <w:lang w:val="es-MX"/>
        </w:rPr>
        <w:t>un leve aumento de Q11.2 millones</w:t>
      </w:r>
      <w:r w:rsidR="00BA01AE">
        <w:rPr>
          <w:lang w:val="es-MX"/>
        </w:rPr>
        <w:t>)</w:t>
      </w:r>
      <w:r w:rsidRPr="00FB641E">
        <w:rPr>
          <w:lang w:val="es-MX"/>
        </w:rPr>
        <w:t xml:space="preserve">, respecto al mismo período </w:t>
      </w:r>
      <w:r w:rsidR="00BA01AE">
        <w:rPr>
          <w:lang w:val="es-MX"/>
        </w:rPr>
        <w:t>en</w:t>
      </w:r>
      <w:r w:rsidRPr="00FB641E">
        <w:rPr>
          <w:lang w:val="es-MX"/>
        </w:rPr>
        <w:t xml:space="preserve"> 2015, </w:t>
      </w:r>
      <w:r w:rsidR="00BA01AE">
        <w:rPr>
          <w:lang w:val="es-MX"/>
        </w:rPr>
        <w:t xml:space="preserve">lo </w:t>
      </w:r>
      <w:r w:rsidRPr="00FB641E">
        <w:rPr>
          <w:lang w:val="es-MX"/>
        </w:rPr>
        <w:t>que obedece al programa de pagos de la deuda pública.</w:t>
      </w:r>
    </w:p>
    <w:p w:rsidR="00FB641E" w:rsidRPr="00FB641E" w:rsidRDefault="00FB641E" w:rsidP="00FB641E">
      <w:pPr>
        <w:jc w:val="both"/>
        <w:rPr>
          <w:sz w:val="14"/>
          <w:lang w:val="es-MX"/>
        </w:rPr>
      </w:pPr>
    </w:p>
    <w:p w:rsidR="00FB641E" w:rsidRPr="00FB641E" w:rsidRDefault="00FB641E" w:rsidP="00FB641E">
      <w:pPr>
        <w:jc w:val="center"/>
        <w:rPr>
          <w:b/>
          <w:sz w:val="22"/>
          <w:lang w:val="es-MX"/>
        </w:rPr>
      </w:pPr>
      <w:r w:rsidRPr="00FB641E">
        <w:rPr>
          <w:b/>
          <w:sz w:val="22"/>
          <w:lang w:val="es-MX"/>
        </w:rPr>
        <w:t xml:space="preserve">Cuadro </w:t>
      </w:r>
      <w:r w:rsidR="00BA01AE">
        <w:rPr>
          <w:b/>
          <w:sz w:val="22"/>
          <w:lang w:val="es-MX"/>
        </w:rPr>
        <w:t>3</w:t>
      </w:r>
    </w:p>
    <w:p w:rsidR="00FB641E" w:rsidRPr="00FB641E" w:rsidRDefault="00FB641E" w:rsidP="00FB641E">
      <w:pPr>
        <w:jc w:val="center"/>
        <w:rPr>
          <w:b/>
          <w:sz w:val="22"/>
          <w:lang w:val="es-MX"/>
        </w:rPr>
      </w:pPr>
      <w:r w:rsidRPr="00FB641E">
        <w:rPr>
          <w:b/>
          <w:sz w:val="22"/>
          <w:lang w:val="es-MX"/>
        </w:rPr>
        <w:t>Detalle del Gasto Público por Cuenta Económica</w:t>
      </w:r>
    </w:p>
    <w:p w:rsidR="00FB641E" w:rsidRPr="00D20002" w:rsidRDefault="00FB641E" w:rsidP="00FB641E">
      <w:pPr>
        <w:jc w:val="center"/>
        <w:rPr>
          <w:i/>
          <w:sz w:val="22"/>
          <w:lang w:val="es-MX"/>
        </w:rPr>
      </w:pPr>
      <w:r w:rsidRPr="00D20002">
        <w:rPr>
          <w:i/>
          <w:sz w:val="22"/>
          <w:lang w:val="es-MX"/>
        </w:rPr>
        <w:t>Al 30 de junio de cada año</w:t>
      </w:r>
    </w:p>
    <w:p w:rsidR="00FB641E" w:rsidRDefault="00FB641E" w:rsidP="00FB641E">
      <w:pPr>
        <w:jc w:val="center"/>
        <w:rPr>
          <w:i/>
          <w:sz w:val="22"/>
          <w:lang w:val="es-MX"/>
        </w:rPr>
      </w:pPr>
      <w:r w:rsidRPr="00D20002">
        <w:rPr>
          <w:i/>
          <w:sz w:val="22"/>
          <w:lang w:val="es-MX"/>
        </w:rPr>
        <w:t>(Cifras en Millones de Quetzales)</w:t>
      </w:r>
    </w:p>
    <w:tbl>
      <w:tblPr>
        <w:tblW w:w="9229" w:type="dxa"/>
        <w:tblInd w:w="55" w:type="dxa"/>
        <w:tblCellMar>
          <w:left w:w="70" w:type="dxa"/>
          <w:right w:w="70" w:type="dxa"/>
        </w:tblCellMar>
        <w:tblLook w:val="04A0" w:firstRow="1" w:lastRow="0" w:firstColumn="1" w:lastColumn="0" w:noHBand="0" w:noVBand="1"/>
      </w:tblPr>
      <w:tblGrid>
        <w:gridCol w:w="4268"/>
        <w:gridCol w:w="1232"/>
        <w:gridCol w:w="1178"/>
        <w:gridCol w:w="1275"/>
        <w:gridCol w:w="1276"/>
      </w:tblGrid>
      <w:tr w:rsidR="004D036B" w:rsidRPr="004D036B" w:rsidTr="004D036B">
        <w:trPr>
          <w:trHeight w:val="315"/>
        </w:trPr>
        <w:tc>
          <w:tcPr>
            <w:tcW w:w="4268" w:type="dxa"/>
            <w:vMerge w:val="restart"/>
            <w:tcBorders>
              <w:top w:val="single" w:sz="12" w:space="0" w:color="auto"/>
              <w:left w:val="single" w:sz="12" w:space="0" w:color="auto"/>
              <w:bottom w:val="single" w:sz="12" w:space="0" w:color="000000"/>
              <w:right w:val="single" w:sz="4" w:space="0" w:color="auto"/>
            </w:tcBorders>
            <w:shd w:val="clear" w:color="000000" w:fill="8DB4E2"/>
            <w:noWrap/>
            <w:vAlign w:val="center"/>
            <w:hideMark/>
          </w:tcPr>
          <w:p w:rsidR="004D036B" w:rsidRPr="004D036B" w:rsidRDefault="004D036B" w:rsidP="004D036B">
            <w:pPr>
              <w:jc w:val="center"/>
              <w:rPr>
                <w:b/>
                <w:bCs/>
                <w:sz w:val="20"/>
                <w:szCs w:val="20"/>
                <w:lang w:val="es-GT" w:eastAsia="es-GT"/>
              </w:rPr>
            </w:pPr>
            <w:r w:rsidRPr="004D036B">
              <w:rPr>
                <w:b/>
                <w:bCs/>
                <w:sz w:val="20"/>
                <w:szCs w:val="20"/>
                <w:lang w:val="es-GT" w:eastAsia="es-GT"/>
              </w:rPr>
              <w:t>Concepto</w:t>
            </w:r>
          </w:p>
        </w:tc>
        <w:tc>
          <w:tcPr>
            <w:tcW w:w="1232" w:type="dxa"/>
            <w:vMerge w:val="restart"/>
            <w:tcBorders>
              <w:top w:val="single" w:sz="12" w:space="0" w:color="auto"/>
              <w:left w:val="single" w:sz="4" w:space="0" w:color="auto"/>
              <w:bottom w:val="single" w:sz="12" w:space="0" w:color="000000"/>
              <w:right w:val="single" w:sz="4" w:space="0" w:color="auto"/>
            </w:tcBorders>
            <w:shd w:val="clear" w:color="000000" w:fill="8DB4E2"/>
            <w:noWrap/>
            <w:vAlign w:val="center"/>
            <w:hideMark/>
          </w:tcPr>
          <w:p w:rsidR="004D036B" w:rsidRPr="004D036B" w:rsidRDefault="004D036B" w:rsidP="004D036B">
            <w:pPr>
              <w:jc w:val="center"/>
              <w:rPr>
                <w:b/>
                <w:bCs/>
                <w:sz w:val="20"/>
                <w:szCs w:val="20"/>
                <w:lang w:val="es-GT" w:eastAsia="es-GT"/>
              </w:rPr>
            </w:pPr>
            <w:r w:rsidRPr="004D036B">
              <w:rPr>
                <w:b/>
                <w:bCs/>
                <w:sz w:val="20"/>
                <w:szCs w:val="20"/>
                <w:lang w:val="es-GT" w:eastAsia="es-GT"/>
              </w:rPr>
              <w:t>2015</w:t>
            </w:r>
          </w:p>
        </w:tc>
        <w:tc>
          <w:tcPr>
            <w:tcW w:w="1178" w:type="dxa"/>
            <w:vMerge w:val="restart"/>
            <w:tcBorders>
              <w:top w:val="single" w:sz="12" w:space="0" w:color="auto"/>
              <w:left w:val="single" w:sz="4" w:space="0" w:color="auto"/>
              <w:bottom w:val="single" w:sz="12" w:space="0" w:color="000000"/>
              <w:right w:val="single" w:sz="4" w:space="0" w:color="auto"/>
            </w:tcBorders>
            <w:shd w:val="clear" w:color="000000" w:fill="8DB4E2"/>
            <w:noWrap/>
            <w:vAlign w:val="center"/>
            <w:hideMark/>
          </w:tcPr>
          <w:p w:rsidR="004D036B" w:rsidRPr="004D036B" w:rsidRDefault="004D036B" w:rsidP="004D036B">
            <w:pPr>
              <w:jc w:val="center"/>
              <w:rPr>
                <w:b/>
                <w:bCs/>
                <w:sz w:val="20"/>
                <w:szCs w:val="20"/>
                <w:lang w:val="es-GT" w:eastAsia="es-GT"/>
              </w:rPr>
            </w:pPr>
            <w:r w:rsidRPr="004D036B">
              <w:rPr>
                <w:b/>
                <w:bCs/>
                <w:sz w:val="20"/>
                <w:szCs w:val="20"/>
                <w:lang w:val="es-GT" w:eastAsia="es-GT"/>
              </w:rPr>
              <w:t>2016</w:t>
            </w:r>
          </w:p>
        </w:tc>
        <w:tc>
          <w:tcPr>
            <w:tcW w:w="2551" w:type="dxa"/>
            <w:gridSpan w:val="2"/>
            <w:tcBorders>
              <w:top w:val="single" w:sz="12" w:space="0" w:color="auto"/>
              <w:left w:val="nil"/>
              <w:bottom w:val="single" w:sz="4" w:space="0" w:color="auto"/>
              <w:right w:val="single" w:sz="12" w:space="0" w:color="000000"/>
            </w:tcBorders>
            <w:shd w:val="clear" w:color="000000" w:fill="8DB4E2"/>
            <w:noWrap/>
            <w:vAlign w:val="bottom"/>
            <w:hideMark/>
          </w:tcPr>
          <w:p w:rsidR="004D036B" w:rsidRPr="004D036B" w:rsidRDefault="004D036B" w:rsidP="004D036B">
            <w:pPr>
              <w:jc w:val="center"/>
              <w:rPr>
                <w:b/>
                <w:bCs/>
                <w:sz w:val="20"/>
                <w:szCs w:val="20"/>
                <w:lang w:val="es-GT" w:eastAsia="es-GT"/>
              </w:rPr>
            </w:pPr>
            <w:r w:rsidRPr="004D036B">
              <w:rPr>
                <w:b/>
                <w:bCs/>
                <w:sz w:val="20"/>
                <w:szCs w:val="20"/>
                <w:lang w:val="es-GT" w:eastAsia="es-GT"/>
              </w:rPr>
              <w:t>Diferencias  2016 - 2015</w:t>
            </w:r>
          </w:p>
        </w:tc>
      </w:tr>
      <w:tr w:rsidR="004D036B" w:rsidRPr="004D036B" w:rsidTr="004D036B">
        <w:trPr>
          <w:trHeight w:val="345"/>
        </w:trPr>
        <w:tc>
          <w:tcPr>
            <w:tcW w:w="4268" w:type="dxa"/>
            <w:vMerge/>
            <w:tcBorders>
              <w:top w:val="single" w:sz="12" w:space="0" w:color="auto"/>
              <w:left w:val="single" w:sz="12" w:space="0" w:color="auto"/>
              <w:bottom w:val="single" w:sz="12" w:space="0" w:color="000000"/>
              <w:right w:val="single" w:sz="4" w:space="0" w:color="auto"/>
            </w:tcBorders>
            <w:vAlign w:val="center"/>
            <w:hideMark/>
          </w:tcPr>
          <w:p w:rsidR="004D036B" w:rsidRPr="004D036B" w:rsidRDefault="004D036B" w:rsidP="004D036B">
            <w:pPr>
              <w:rPr>
                <w:b/>
                <w:bCs/>
                <w:sz w:val="20"/>
                <w:szCs w:val="20"/>
                <w:lang w:val="es-GT" w:eastAsia="es-GT"/>
              </w:rPr>
            </w:pPr>
          </w:p>
        </w:tc>
        <w:tc>
          <w:tcPr>
            <w:tcW w:w="1232" w:type="dxa"/>
            <w:vMerge/>
            <w:tcBorders>
              <w:top w:val="single" w:sz="12" w:space="0" w:color="auto"/>
              <w:left w:val="single" w:sz="4" w:space="0" w:color="auto"/>
              <w:bottom w:val="single" w:sz="12" w:space="0" w:color="000000"/>
              <w:right w:val="single" w:sz="4" w:space="0" w:color="auto"/>
            </w:tcBorders>
            <w:vAlign w:val="center"/>
            <w:hideMark/>
          </w:tcPr>
          <w:p w:rsidR="004D036B" w:rsidRPr="004D036B" w:rsidRDefault="004D036B" w:rsidP="004D036B">
            <w:pPr>
              <w:rPr>
                <w:b/>
                <w:bCs/>
                <w:sz w:val="20"/>
                <w:szCs w:val="20"/>
                <w:lang w:val="es-GT" w:eastAsia="es-GT"/>
              </w:rPr>
            </w:pPr>
          </w:p>
        </w:tc>
        <w:tc>
          <w:tcPr>
            <w:tcW w:w="1178" w:type="dxa"/>
            <w:vMerge/>
            <w:tcBorders>
              <w:top w:val="single" w:sz="12" w:space="0" w:color="auto"/>
              <w:left w:val="single" w:sz="4" w:space="0" w:color="auto"/>
              <w:bottom w:val="single" w:sz="12" w:space="0" w:color="000000"/>
              <w:right w:val="single" w:sz="4" w:space="0" w:color="auto"/>
            </w:tcBorders>
            <w:vAlign w:val="center"/>
            <w:hideMark/>
          </w:tcPr>
          <w:p w:rsidR="004D036B" w:rsidRPr="004D036B" w:rsidRDefault="004D036B" w:rsidP="004D036B">
            <w:pPr>
              <w:rPr>
                <w:b/>
                <w:bCs/>
                <w:sz w:val="20"/>
                <w:szCs w:val="20"/>
                <w:lang w:val="es-GT" w:eastAsia="es-GT"/>
              </w:rPr>
            </w:pPr>
          </w:p>
        </w:tc>
        <w:tc>
          <w:tcPr>
            <w:tcW w:w="1275" w:type="dxa"/>
            <w:tcBorders>
              <w:top w:val="nil"/>
              <w:left w:val="nil"/>
              <w:bottom w:val="single" w:sz="12" w:space="0" w:color="auto"/>
              <w:right w:val="single" w:sz="4" w:space="0" w:color="auto"/>
            </w:tcBorders>
            <w:shd w:val="clear" w:color="000000" w:fill="8DB4E2"/>
            <w:noWrap/>
            <w:vAlign w:val="bottom"/>
            <w:hideMark/>
          </w:tcPr>
          <w:p w:rsidR="004D036B" w:rsidRPr="004D036B" w:rsidRDefault="004D036B" w:rsidP="004D036B">
            <w:pPr>
              <w:jc w:val="center"/>
              <w:rPr>
                <w:b/>
                <w:bCs/>
                <w:sz w:val="20"/>
                <w:szCs w:val="20"/>
                <w:lang w:val="es-GT" w:eastAsia="es-GT"/>
              </w:rPr>
            </w:pPr>
            <w:r w:rsidRPr="004D036B">
              <w:rPr>
                <w:b/>
                <w:bCs/>
                <w:sz w:val="20"/>
                <w:szCs w:val="20"/>
                <w:lang w:val="es-GT" w:eastAsia="es-GT"/>
              </w:rPr>
              <w:t>Absolutas</w:t>
            </w:r>
          </w:p>
        </w:tc>
        <w:tc>
          <w:tcPr>
            <w:tcW w:w="1276" w:type="dxa"/>
            <w:tcBorders>
              <w:top w:val="nil"/>
              <w:left w:val="single" w:sz="4" w:space="0" w:color="auto"/>
              <w:bottom w:val="single" w:sz="12" w:space="0" w:color="auto"/>
              <w:right w:val="single" w:sz="12" w:space="0" w:color="auto"/>
            </w:tcBorders>
            <w:shd w:val="clear" w:color="000000" w:fill="8DB4E2"/>
            <w:noWrap/>
            <w:vAlign w:val="bottom"/>
            <w:hideMark/>
          </w:tcPr>
          <w:p w:rsidR="004D036B" w:rsidRPr="004D036B" w:rsidRDefault="004D036B" w:rsidP="004D036B">
            <w:pPr>
              <w:jc w:val="center"/>
              <w:rPr>
                <w:b/>
                <w:bCs/>
                <w:sz w:val="20"/>
                <w:szCs w:val="20"/>
                <w:lang w:val="es-GT" w:eastAsia="es-GT"/>
              </w:rPr>
            </w:pPr>
            <w:r w:rsidRPr="004D036B">
              <w:rPr>
                <w:b/>
                <w:bCs/>
                <w:sz w:val="20"/>
                <w:szCs w:val="20"/>
                <w:lang w:val="es-GT" w:eastAsia="es-GT"/>
              </w:rPr>
              <w:t>Relativas</w:t>
            </w:r>
          </w:p>
        </w:tc>
      </w:tr>
      <w:tr w:rsidR="004D036B" w:rsidRPr="004D036B" w:rsidTr="004D036B">
        <w:trPr>
          <w:trHeight w:val="375"/>
        </w:trPr>
        <w:tc>
          <w:tcPr>
            <w:tcW w:w="4268" w:type="dxa"/>
            <w:tcBorders>
              <w:top w:val="nil"/>
              <w:left w:val="single" w:sz="12" w:space="0" w:color="auto"/>
              <w:bottom w:val="nil"/>
              <w:right w:val="single" w:sz="4" w:space="0" w:color="auto"/>
            </w:tcBorders>
            <w:shd w:val="clear" w:color="000000" w:fill="FFFFFF"/>
            <w:noWrap/>
            <w:vAlign w:val="center"/>
            <w:hideMark/>
          </w:tcPr>
          <w:p w:rsidR="004D036B" w:rsidRPr="004D036B" w:rsidRDefault="004D036B" w:rsidP="004D036B">
            <w:pPr>
              <w:rPr>
                <w:b/>
                <w:bCs/>
                <w:sz w:val="20"/>
                <w:szCs w:val="20"/>
                <w:lang w:val="es-GT" w:eastAsia="es-GT"/>
              </w:rPr>
            </w:pPr>
            <w:r w:rsidRPr="004D036B">
              <w:rPr>
                <w:b/>
                <w:bCs/>
                <w:sz w:val="20"/>
                <w:szCs w:val="20"/>
                <w:lang w:val="es-GT" w:eastAsia="es-GT"/>
              </w:rPr>
              <w:t>Gastos Totales:</w:t>
            </w:r>
          </w:p>
        </w:tc>
        <w:tc>
          <w:tcPr>
            <w:tcW w:w="1232" w:type="dxa"/>
            <w:tcBorders>
              <w:top w:val="nil"/>
              <w:left w:val="nil"/>
              <w:bottom w:val="nil"/>
              <w:right w:val="single" w:sz="4" w:space="0" w:color="auto"/>
            </w:tcBorders>
            <w:shd w:val="clear" w:color="000000" w:fill="FFFFFF"/>
            <w:noWrap/>
            <w:vAlign w:val="center"/>
            <w:hideMark/>
          </w:tcPr>
          <w:p w:rsidR="004D036B" w:rsidRPr="004D036B" w:rsidRDefault="004D036B" w:rsidP="004D036B">
            <w:pPr>
              <w:jc w:val="right"/>
              <w:rPr>
                <w:b/>
                <w:bCs/>
                <w:sz w:val="20"/>
                <w:szCs w:val="20"/>
                <w:lang w:val="es-GT" w:eastAsia="es-GT"/>
              </w:rPr>
            </w:pPr>
            <w:r w:rsidRPr="004D036B">
              <w:rPr>
                <w:b/>
                <w:bCs/>
                <w:sz w:val="20"/>
                <w:szCs w:val="20"/>
                <w:lang w:val="es-GT" w:eastAsia="es-GT"/>
              </w:rPr>
              <w:t>29,774.6</w:t>
            </w:r>
          </w:p>
        </w:tc>
        <w:tc>
          <w:tcPr>
            <w:tcW w:w="1178" w:type="dxa"/>
            <w:tcBorders>
              <w:top w:val="nil"/>
              <w:left w:val="nil"/>
              <w:bottom w:val="nil"/>
              <w:right w:val="single" w:sz="4" w:space="0" w:color="auto"/>
            </w:tcBorders>
            <w:shd w:val="clear" w:color="000000" w:fill="FFFFFF"/>
            <w:noWrap/>
            <w:vAlign w:val="center"/>
            <w:hideMark/>
          </w:tcPr>
          <w:p w:rsidR="004D036B" w:rsidRPr="004D036B" w:rsidRDefault="004D036B" w:rsidP="004D036B">
            <w:pPr>
              <w:jc w:val="right"/>
              <w:rPr>
                <w:b/>
                <w:bCs/>
                <w:sz w:val="20"/>
                <w:szCs w:val="20"/>
                <w:lang w:val="es-GT" w:eastAsia="es-GT"/>
              </w:rPr>
            </w:pPr>
            <w:r w:rsidRPr="004D036B">
              <w:rPr>
                <w:b/>
                <w:bCs/>
                <w:sz w:val="20"/>
                <w:szCs w:val="20"/>
                <w:lang w:val="es-GT" w:eastAsia="es-GT"/>
              </w:rPr>
              <w:t>27,339.1</w:t>
            </w:r>
          </w:p>
        </w:tc>
        <w:tc>
          <w:tcPr>
            <w:tcW w:w="1275" w:type="dxa"/>
            <w:tcBorders>
              <w:top w:val="nil"/>
              <w:left w:val="nil"/>
              <w:bottom w:val="nil"/>
              <w:right w:val="single" w:sz="4" w:space="0" w:color="auto"/>
            </w:tcBorders>
            <w:shd w:val="clear" w:color="000000" w:fill="FFFFFF"/>
            <w:noWrap/>
            <w:vAlign w:val="center"/>
            <w:hideMark/>
          </w:tcPr>
          <w:p w:rsidR="004D036B" w:rsidRPr="004D036B" w:rsidRDefault="004D036B" w:rsidP="004D036B">
            <w:pPr>
              <w:jc w:val="right"/>
              <w:rPr>
                <w:b/>
                <w:bCs/>
                <w:sz w:val="20"/>
                <w:szCs w:val="20"/>
                <w:lang w:val="es-GT" w:eastAsia="es-GT"/>
              </w:rPr>
            </w:pPr>
            <w:r w:rsidRPr="004D036B">
              <w:rPr>
                <w:b/>
                <w:bCs/>
                <w:sz w:val="20"/>
                <w:szCs w:val="20"/>
                <w:lang w:val="es-GT" w:eastAsia="es-GT"/>
              </w:rPr>
              <w:t>-2,435.6</w:t>
            </w:r>
          </w:p>
        </w:tc>
        <w:tc>
          <w:tcPr>
            <w:tcW w:w="1276" w:type="dxa"/>
            <w:tcBorders>
              <w:top w:val="nil"/>
              <w:left w:val="nil"/>
              <w:bottom w:val="nil"/>
              <w:right w:val="single" w:sz="12" w:space="0" w:color="auto"/>
            </w:tcBorders>
            <w:shd w:val="clear" w:color="auto" w:fill="auto"/>
            <w:noWrap/>
            <w:vAlign w:val="center"/>
            <w:hideMark/>
          </w:tcPr>
          <w:p w:rsidR="004D036B" w:rsidRPr="004D036B" w:rsidRDefault="004D036B" w:rsidP="004D036B">
            <w:pPr>
              <w:jc w:val="right"/>
              <w:rPr>
                <w:b/>
                <w:bCs/>
                <w:sz w:val="20"/>
                <w:szCs w:val="20"/>
                <w:lang w:val="es-GT" w:eastAsia="es-GT"/>
              </w:rPr>
            </w:pPr>
            <w:r w:rsidRPr="004D036B">
              <w:rPr>
                <w:b/>
                <w:bCs/>
                <w:sz w:val="20"/>
                <w:szCs w:val="20"/>
                <w:lang w:val="es-GT" w:eastAsia="es-GT"/>
              </w:rPr>
              <w:t>-8.2%</w:t>
            </w:r>
          </w:p>
        </w:tc>
      </w:tr>
      <w:tr w:rsidR="004D036B" w:rsidRPr="004D036B" w:rsidTr="004D036B">
        <w:trPr>
          <w:trHeight w:val="360"/>
        </w:trPr>
        <w:tc>
          <w:tcPr>
            <w:tcW w:w="4268" w:type="dxa"/>
            <w:tcBorders>
              <w:top w:val="nil"/>
              <w:left w:val="single" w:sz="12" w:space="0" w:color="auto"/>
              <w:bottom w:val="nil"/>
              <w:right w:val="single" w:sz="4" w:space="0" w:color="auto"/>
            </w:tcBorders>
            <w:shd w:val="clear" w:color="000000" w:fill="FFFFFF"/>
            <w:noWrap/>
            <w:vAlign w:val="center"/>
            <w:hideMark/>
          </w:tcPr>
          <w:p w:rsidR="004D036B" w:rsidRPr="004D036B" w:rsidRDefault="004D036B" w:rsidP="004D036B">
            <w:pPr>
              <w:rPr>
                <w:b/>
                <w:bCs/>
                <w:sz w:val="20"/>
                <w:szCs w:val="20"/>
                <w:lang w:val="es-GT" w:eastAsia="es-GT"/>
              </w:rPr>
            </w:pPr>
            <w:r w:rsidRPr="004D036B">
              <w:rPr>
                <w:b/>
                <w:bCs/>
                <w:sz w:val="20"/>
                <w:szCs w:val="20"/>
                <w:lang w:val="es-GT" w:eastAsia="es-GT"/>
              </w:rPr>
              <w:t>Gastos Corrientes</w:t>
            </w:r>
          </w:p>
        </w:tc>
        <w:tc>
          <w:tcPr>
            <w:tcW w:w="1232" w:type="dxa"/>
            <w:tcBorders>
              <w:top w:val="nil"/>
              <w:left w:val="nil"/>
              <w:bottom w:val="nil"/>
              <w:right w:val="single" w:sz="4" w:space="0" w:color="auto"/>
            </w:tcBorders>
            <w:shd w:val="clear" w:color="000000" w:fill="FFFFFF"/>
            <w:noWrap/>
            <w:vAlign w:val="center"/>
            <w:hideMark/>
          </w:tcPr>
          <w:p w:rsidR="004D036B" w:rsidRPr="004D036B" w:rsidRDefault="004D036B" w:rsidP="004D036B">
            <w:pPr>
              <w:jc w:val="right"/>
              <w:rPr>
                <w:b/>
                <w:bCs/>
                <w:sz w:val="20"/>
                <w:szCs w:val="20"/>
                <w:lang w:val="es-GT" w:eastAsia="es-GT"/>
              </w:rPr>
            </w:pPr>
            <w:r w:rsidRPr="004D036B">
              <w:rPr>
                <w:b/>
                <w:bCs/>
                <w:sz w:val="20"/>
                <w:szCs w:val="20"/>
                <w:lang w:val="es-GT" w:eastAsia="es-GT"/>
              </w:rPr>
              <w:t>24,512.5</w:t>
            </w:r>
          </w:p>
        </w:tc>
        <w:tc>
          <w:tcPr>
            <w:tcW w:w="1178" w:type="dxa"/>
            <w:tcBorders>
              <w:top w:val="nil"/>
              <w:left w:val="nil"/>
              <w:bottom w:val="nil"/>
              <w:right w:val="single" w:sz="4" w:space="0" w:color="auto"/>
            </w:tcBorders>
            <w:shd w:val="clear" w:color="000000" w:fill="FFFFFF"/>
            <w:noWrap/>
            <w:vAlign w:val="center"/>
            <w:hideMark/>
          </w:tcPr>
          <w:p w:rsidR="004D036B" w:rsidRPr="004D036B" w:rsidRDefault="004D036B" w:rsidP="004D036B">
            <w:pPr>
              <w:jc w:val="right"/>
              <w:rPr>
                <w:b/>
                <w:bCs/>
                <w:sz w:val="20"/>
                <w:szCs w:val="20"/>
                <w:lang w:val="es-GT" w:eastAsia="es-GT"/>
              </w:rPr>
            </w:pPr>
            <w:r w:rsidRPr="004D036B">
              <w:rPr>
                <w:b/>
                <w:bCs/>
                <w:sz w:val="20"/>
                <w:szCs w:val="20"/>
                <w:lang w:val="es-GT" w:eastAsia="es-GT"/>
              </w:rPr>
              <w:t>23,301.9</w:t>
            </w:r>
          </w:p>
        </w:tc>
        <w:tc>
          <w:tcPr>
            <w:tcW w:w="1275" w:type="dxa"/>
            <w:tcBorders>
              <w:top w:val="nil"/>
              <w:left w:val="nil"/>
              <w:bottom w:val="nil"/>
              <w:right w:val="single" w:sz="4" w:space="0" w:color="auto"/>
            </w:tcBorders>
            <w:shd w:val="clear" w:color="000000" w:fill="FFFFFF"/>
            <w:noWrap/>
            <w:vAlign w:val="center"/>
            <w:hideMark/>
          </w:tcPr>
          <w:p w:rsidR="004D036B" w:rsidRPr="004D036B" w:rsidRDefault="004D036B" w:rsidP="004D036B">
            <w:pPr>
              <w:jc w:val="right"/>
              <w:rPr>
                <w:b/>
                <w:bCs/>
                <w:sz w:val="20"/>
                <w:szCs w:val="20"/>
                <w:lang w:val="es-GT" w:eastAsia="es-GT"/>
              </w:rPr>
            </w:pPr>
            <w:r w:rsidRPr="004D036B">
              <w:rPr>
                <w:b/>
                <w:bCs/>
                <w:sz w:val="20"/>
                <w:szCs w:val="20"/>
                <w:lang w:val="es-GT" w:eastAsia="es-GT"/>
              </w:rPr>
              <w:t>-1,210.6</w:t>
            </w:r>
          </w:p>
        </w:tc>
        <w:tc>
          <w:tcPr>
            <w:tcW w:w="1276" w:type="dxa"/>
            <w:tcBorders>
              <w:top w:val="nil"/>
              <w:left w:val="nil"/>
              <w:bottom w:val="nil"/>
              <w:right w:val="single" w:sz="12" w:space="0" w:color="auto"/>
            </w:tcBorders>
            <w:shd w:val="clear" w:color="auto" w:fill="auto"/>
            <w:noWrap/>
            <w:vAlign w:val="center"/>
            <w:hideMark/>
          </w:tcPr>
          <w:p w:rsidR="004D036B" w:rsidRPr="004D036B" w:rsidRDefault="004D036B" w:rsidP="004D036B">
            <w:pPr>
              <w:jc w:val="right"/>
              <w:rPr>
                <w:b/>
                <w:bCs/>
                <w:sz w:val="20"/>
                <w:szCs w:val="20"/>
                <w:lang w:val="es-GT" w:eastAsia="es-GT"/>
              </w:rPr>
            </w:pPr>
            <w:r w:rsidRPr="004D036B">
              <w:rPr>
                <w:b/>
                <w:bCs/>
                <w:sz w:val="20"/>
                <w:szCs w:val="20"/>
                <w:lang w:val="es-GT" w:eastAsia="es-GT"/>
              </w:rPr>
              <w:t>-4.9%</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100" w:firstLine="200"/>
              <w:rPr>
                <w:sz w:val="20"/>
                <w:szCs w:val="20"/>
                <w:lang w:val="es-GT" w:eastAsia="es-GT"/>
              </w:rPr>
            </w:pPr>
            <w:r w:rsidRPr="004D036B">
              <w:rPr>
                <w:sz w:val="20"/>
                <w:szCs w:val="20"/>
                <w:lang w:val="es-GT" w:eastAsia="es-GT"/>
              </w:rPr>
              <w:t>Remuneraciones</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9,408.1</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9,536.9</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128.8</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1.4%</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100" w:firstLine="200"/>
              <w:rPr>
                <w:sz w:val="20"/>
                <w:szCs w:val="20"/>
                <w:lang w:val="es-GT" w:eastAsia="es-GT"/>
              </w:rPr>
            </w:pPr>
            <w:r w:rsidRPr="004D036B">
              <w:rPr>
                <w:sz w:val="20"/>
                <w:szCs w:val="20"/>
                <w:lang w:val="es-GT" w:eastAsia="es-GT"/>
              </w:rPr>
              <w:t>Bienes y Servicios</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4,200.3</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2,909.3</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-1,291.0</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-30.7%</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100" w:firstLine="200"/>
              <w:rPr>
                <w:sz w:val="20"/>
                <w:szCs w:val="20"/>
                <w:lang w:val="es-GT" w:eastAsia="es-GT"/>
              </w:rPr>
            </w:pPr>
            <w:r w:rsidRPr="004D036B">
              <w:rPr>
                <w:sz w:val="20"/>
                <w:szCs w:val="20"/>
                <w:lang w:val="es-GT" w:eastAsia="es-GT"/>
              </w:rPr>
              <w:t>Impuestos pagados por dependencias del Estado</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12.7</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3.5</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-9.3</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-72.7%</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100" w:firstLine="200"/>
              <w:rPr>
                <w:sz w:val="20"/>
                <w:szCs w:val="20"/>
                <w:lang w:val="es-GT" w:eastAsia="es-GT"/>
              </w:rPr>
            </w:pPr>
            <w:r w:rsidRPr="004D036B">
              <w:rPr>
                <w:sz w:val="20"/>
                <w:szCs w:val="20"/>
                <w:lang w:val="es-GT" w:eastAsia="es-GT"/>
              </w:rPr>
              <w:t>Descuentos y Bonificaciones</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0.8</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0.3</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-0.5</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-63.9%</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100" w:firstLine="200"/>
              <w:rPr>
                <w:sz w:val="20"/>
                <w:szCs w:val="20"/>
                <w:lang w:val="es-GT" w:eastAsia="es-GT"/>
              </w:rPr>
            </w:pPr>
            <w:r w:rsidRPr="004D036B">
              <w:rPr>
                <w:sz w:val="20"/>
                <w:szCs w:val="20"/>
                <w:lang w:val="es-GT" w:eastAsia="es-GT"/>
              </w:rPr>
              <w:t>Prestaciones a la Seguridad Social</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1,820.9</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1,924.7</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103.7</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5.7%</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100" w:firstLine="200"/>
              <w:rPr>
                <w:sz w:val="20"/>
                <w:szCs w:val="20"/>
                <w:lang w:val="es-GT" w:eastAsia="es-GT"/>
              </w:rPr>
            </w:pPr>
            <w:r w:rsidRPr="004D036B">
              <w:rPr>
                <w:sz w:val="20"/>
                <w:szCs w:val="20"/>
                <w:lang w:val="es-GT" w:eastAsia="es-GT"/>
              </w:rPr>
              <w:t xml:space="preserve">Intereses </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3,854.8</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3,781.7</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-73.1</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-1.9%</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200" w:firstLine="400"/>
              <w:rPr>
                <w:sz w:val="20"/>
                <w:szCs w:val="20"/>
                <w:lang w:val="es-GT" w:eastAsia="es-GT"/>
              </w:rPr>
            </w:pPr>
            <w:r w:rsidRPr="004D036B">
              <w:rPr>
                <w:sz w:val="20"/>
                <w:szCs w:val="20"/>
                <w:lang w:val="es-GT" w:eastAsia="es-GT"/>
              </w:rPr>
              <w:t>Deuda  Interna</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2,504.9</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2,505.7</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0.7</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0.0%</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200" w:firstLine="400"/>
              <w:rPr>
                <w:sz w:val="20"/>
                <w:szCs w:val="20"/>
                <w:lang w:val="es-GT" w:eastAsia="es-GT"/>
              </w:rPr>
            </w:pPr>
            <w:r w:rsidRPr="004D036B">
              <w:rPr>
                <w:sz w:val="20"/>
                <w:szCs w:val="20"/>
                <w:lang w:val="es-GT" w:eastAsia="es-GT"/>
              </w:rPr>
              <w:t>Deuda Externa</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1,349.8</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1,276.0</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-73.8</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-5.5%</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300" w:firstLine="600"/>
              <w:rPr>
                <w:sz w:val="20"/>
                <w:szCs w:val="20"/>
                <w:lang w:val="es-GT" w:eastAsia="es-GT"/>
              </w:rPr>
            </w:pPr>
            <w:r w:rsidRPr="004D036B">
              <w:rPr>
                <w:sz w:val="20"/>
                <w:szCs w:val="20"/>
                <w:lang w:val="es-GT" w:eastAsia="es-GT"/>
              </w:rPr>
              <w:t>Préstamos</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800.9</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883.5</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82.5</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10.3%</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300" w:firstLine="600"/>
              <w:rPr>
                <w:sz w:val="20"/>
                <w:szCs w:val="20"/>
                <w:lang w:val="es-GT" w:eastAsia="es-GT"/>
              </w:rPr>
            </w:pPr>
            <w:r w:rsidRPr="004D036B">
              <w:rPr>
                <w:sz w:val="20"/>
                <w:szCs w:val="20"/>
                <w:lang w:val="es-GT" w:eastAsia="es-GT"/>
              </w:rPr>
              <w:t>Bonos</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548.9</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392.5</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-156.3</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-28.5%</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100" w:firstLine="200"/>
              <w:rPr>
                <w:sz w:val="20"/>
                <w:szCs w:val="20"/>
                <w:lang w:val="es-GT" w:eastAsia="es-GT"/>
              </w:rPr>
            </w:pPr>
            <w:r w:rsidRPr="004D036B">
              <w:rPr>
                <w:sz w:val="20"/>
                <w:szCs w:val="20"/>
                <w:lang w:val="es-GT" w:eastAsia="es-GT"/>
              </w:rPr>
              <w:t>Arrendamiento de Tierras y Terrenos</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0.3</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0.2</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-0.1</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-18.4%</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100" w:firstLine="200"/>
              <w:rPr>
                <w:sz w:val="20"/>
                <w:szCs w:val="20"/>
                <w:lang w:val="es-GT" w:eastAsia="es-GT"/>
              </w:rPr>
            </w:pPr>
            <w:r w:rsidRPr="004D036B">
              <w:rPr>
                <w:sz w:val="20"/>
                <w:szCs w:val="20"/>
                <w:lang w:val="es-GT" w:eastAsia="es-GT"/>
              </w:rPr>
              <w:t>Derechos sobre Bienes Intangibles</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6.9</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5.8</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-1.1</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-16.4%</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100" w:firstLine="200"/>
              <w:rPr>
                <w:sz w:val="20"/>
                <w:szCs w:val="20"/>
                <w:lang w:val="es-GT" w:eastAsia="es-GT"/>
              </w:rPr>
            </w:pPr>
            <w:r w:rsidRPr="004D036B">
              <w:rPr>
                <w:sz w:val="20"/>
                <w:szCs w:val="20"/>
                <w:lang w:val="es-GT" w:eastAsia="es-GT"/>
              </w:rPr>
              <w:t>Transferencias Corrientes</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5,207.7</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5,139.6</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-68.1</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-1.3%</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200" w:firstLine="400"/>
              <w:rPr>
                <w:sz w:val="20"/>
                <w:szCs w:val="20"/>
                <w:lang w:val="es-GT" w:eastAsia="es-GT"/>
              </w:rPr>
            </w:pPr>
            <w:r w:rsidRPr="004D036B">
              <w:rPr>
                <w:sz w:val="20"/>
                <w:szCs w:val="20"/>
                <w:lang w:val="es-GT" w:eastAsia="es-GT"/>
              </w:rPr>
              <w:t>Resto del Sector Público</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4,005.8</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3,821.1</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-184.8</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-4.6%</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200" w:firstLine="400"/>
              <w:rPr>
                <w:sz w:val="20"/>
                <w:szCs w:val="20"/>
                <w:lang w:val="es-GT" w:eastAsia="es-GT"/>
              </w:rPr>
            </w:pPr>
            <w:r w:rsidRPr="004D036B">
              <w:rPr>
                <w:sz w:val="20"/>
                <w:szCs w:val="20"/>
                <w:lang w:val="es-GT" w:eastAsia="es-GT"/>
              </w:rPr>
              <w:t>Sector Privado</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1,150.2</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1,279.7</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129.4</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11.3%</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200" w:firstLine="400"/>
              <w:rPr>
                <w:sz w:val="20"/>
                <w:szCs w:val="20"/>
                <w:lang w:val="es-GT" w:eastAsia="es-GT"/>
              </w:rPr>
            </w:pPr>
            <w:r w:rsidRPr="004D036B">
              <w:rPr>
                <w:sz w:val="20"/>
                <w:szCs w:val="20"/>
                <w:lang w:val="es-GT" w:eastAsia="es-GT"/>
              </w:rPr>
              <w:t>Sector Externo</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51.6</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38.8</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-12.8</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-24.8%</w:t>
            </w:r>
          </w:p>
        </w:tc>
      </w:tr>
      <w:tr w:rsidR="004D036B" w:rsidRPr="004D036B" w:rsidTr="004D036B">
        <w:trPr>
          <w:trHeight w:val="375"/>
        </w:trPr>
        <w:tc>
          <w:tcPr>
            <w:tcW w:w="4268" w:type="dxa"/>
            <w:tcBorders>
              <w:top w:val="nil"/>
              <w:left w:val="single" w:sz="12" w:space="0" w:color="auto"/>
              <w:bottom w:val="nil"/>
              <w:right w:val="single" w:sz="4" w:space="0" w:color="auto"/>
            </w:tcBorders>
            <w:shd w:val="clear" w:color="000000" w:fill="FFFFFF"/>
            <w:noWrap/>
            <w:vAlign w:val="center"/>
            <w:hideMark/>
          </w:tcPr>
          <w:p w:rsidR="004D036B" w:rsidRPr="004D036B" w:rsidRDefault="004D036B" w:rsidP="004D036B">
            <w:pPr>
              <w:rPr>
                <w:b/>
                <w:bCs/>
                <w:sz w:val="20"/>
                <w:szCs w:val="20"/>
                <w:lang w:val="es-GT" w:eastAsia="es-GT"/>
              </w:rPr>
            </w:pPr>
            <w:r w:rsidRPr="004D036B">
              <w:rPr>
                <w:b/>
                <w:bCs/>
                <w:sz w:val="20"/>
                <w:szCs w:val="20"/>
                <w:lang w:val="es-GT" w:eastAsia="es-GT"/>
              </w:rPr>
              <w:t>Gastos de Capital</w:t>
            </w:r>
          </w:p>
        </w:tc>
        <w:tc>
          <w:tcPr>
            <w:tcW w:w="1232" w:type="dxa"/>
            <w:tcBorders>
              <w:top w:val="nil"/>
              <w:left w:val="nil"/>
              <w:bottom w:val="nil"/>
              <w:right w:val="single" w:sz="4" w:space="0" w:color="auto"/>
            </w:tcBorders>
            <w:shd w:val="clear" w:color="000000" w:fill="FFFFFF"/>
            <w:noWrap/>
            <w:vAlign w:val="center"/>
            <w:hideMark/>
          </w:tcPr>
          <w:p w:rsidR="004D036B" w:rsidRPr="004D036B" w:rsidRDefault="004D036B" w:rsidP="004D036B">
            <w:pPr>
              <w:jc w:val="right"/>
              <w:rPr>
                <w:b/>
                <w:bCs/>
                <w:sz w:val="20"/>
                <w:szCs w:val="20"/>
                <w:lang w:val="es-GT" w:eastAsia="es-GT"/>
              </w:rPr>
            </w:pPr>
            <w:r w:rsidRPr="004D036B">
              <w:rPr>
                <w:b/>
                <w:bCs/>
                <w:sz w:val="20"/>
                <w:szCs w:val="20"/>
                <w:lang w:val="es-GT" w:eastAsia="es-GT"/>
              </w:rPr>
              <w:t>5,262.1</w:t>
            </w:r>
          </w:p>
        </w:tc>
        <w:tc>
          <w:tcPr>
            <w:tcW w:w="1178" w:type="dxa"/>
            <w:tcBorders>
              <w:top w:val="nil"/>
              <w:left w:val="nil"/>
              <w:bottom w:val="nil"/>
              <w:right w:val="single" w:sz="4" w:space="0" w:color="auto"/>
            </w:tcBorders>
            <w:shd w:val="clear" w:color="000000" w:fill="FFFFFF"/>
            <w:noWrap/>
            <w:vAlign w:val="center"/>
            <w:hideMark/>
          </w:tcPr>
          <w:p w:rsidR="004D036B" w:rsidRPr="004D036B" w:rsidRDefault="004D036B" w:rsidP="004D036B">
            <w:pPr>
              <w:jc w:val="right"/>
              <w:rPr>
                <w:b/>
                <w:bCs/>
                <w:sz w:val="20"/>
                <w:szCs w:val="20"/>
                <w:lang w:val="es-GT" w:eastAsia="es-GT"/>
              </w:rPr>
            </w:pPr>
            <w:r w:rsidRPr="004D036B">
              <w:rPr>
                <w:b/>
                <w:bCs/>
                <w:sz w:val="20"/>
                <w:szCs w:val="20"/>
                <w:lang w:val="es-GT" w:eastAsia="es-GT"/>
              </w:rPr>
              <w:t>4,037.2</w:t>
            </w:r>
          </w:p>
        </w:tc>
        <w:tc>
          <w:tcPr>
            <w:tcW w:w="1275" w:type="dxa"/>
            <w:tcBorders>
              <w:top w:val="nil"/>
              <w:left w:val="nil"/>
              <w:bottom w:val="nil"/>
              <w:right w:val="single" w:sz="4" w:space="0" w:color="auto"/>
            </w:tcBorders>
            <w:shd w:val="clear" w:color="000000" w:fill="FFFFFF"/>
            <w:noWrap/>
            <w:vAlign w:val="center"/>
            <w:hideMark/>
          </w:tcPr>
          <w:p w:rsidR="004D036B" w:rsidRPr="004D036B" w:rsidRDefault="004D036B" w:rsidP="004D036B">
            <w:pPr>
              <w:jc w:val="right"/>
              <w:rPr>
                <w:b/>
                <w:bCs/>
                <w:sz w:val="20"/>
                <w:szCs w:val="20"/>
                <w:lang w:val="es-GT" w:eastAsia="es-GT"/>
              </w:rPr>
            </w:pPr>
            <w:r w:rsidRPr="004D036B">
              <w:rPr>
                <w:b/>
                <w:bCs/>
                <w:sz w:val="20"/>
                <w:szCs w:val="20"/>
                <w:lang w:val="es-GT" w:eastAsia="es-GT"/>
              </w:rPr>
              <w:t>-1,224.9</w:t>
            </w:r>
          </w:p>
        </w:tc>
        <w:tc>
          <w:tcPr>
            <w:tcW w:w="1276" w:type="dxa"/>
            <w:tcBorders>
              <w:top w:val="nil"/>
              <w:left w:val="nil"/>
              <w:bottom w:val="nil"/>
              <w:right w:val="single" w:sz="12" w:space="0" w:color="auto"/>
            </w:tcBorders>
            <w:shd w:val="clear" w:color="auto" w:fill="auto"/>
            <w:noWrap/>
            <w:vAlign w:val="center"/>
            <w:hideMark/>
          </w:tcPr>
          <w:p w:rsidR="004D036B" w:rsidRPr="004D036B" w:rsidRDefault="004D036B" w:rsidP="004D036B">
            <w:pPr>
              <w:jc w:val="right"/>
              <w:rPr>
                <w:b/>
                <w:bCs/>
                <w:sz w:val="20"/>
                <w:szCs w:val="20"/>
                <w:lang w:val="es-GT" w:eastAsia="es-GT"/>
              </w:rPr>
            </w:pPr>
            <w:r w:rsidRPr="004D036B">
              <w:rPr>
                <w:b/>
                <w:bCs/>
                <w:sz w:val="20"/>
                <w:szCs w:val="20"/>
                <w:lang w:val="es-GT" w:eastAsia="es-GT"/>
              </w:rPr>
              <w:t>-23.3%</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100" w:firstLine="200"/>
              <w:rPr>
                <w:sz w:val="20"/>
                <w:szCs w:val="20"/>
                <w:lang w:val="es-GT" w:eastAsia="es-GT"/>
              </w:rPr>
            </w:pPr>
            <w:r w:rsidRPr="004D036B">
              <w:rPr>
                <w:sz w:val="20"/>
                <w:szCs w:val="20"/>
                <w:lang w:val="es-GT" w:eastAsia="es-GT"/>
              </w:rPr>
              <w:t>Inversión Real Directa</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933.6</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110.8</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-822.8</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-88.1%</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100" w:firstLine="200"/>
              <w:rPr>
                <w:sz w:val="20"/>
                <w:szCs w:val="20"/>
                <w:lang w:val="es-GT" w:eastAsia="es-GT"/>
              </w:rPr>
            </w:pPr>
            <w:r w:rsidRPr="004D036B">
              <w:rPr>
                <w:sz w:val="20"/>
                <w:szCs w:val="20"/>
                <w:lang w:val="es-GT" w:eastAsia="es-GT"/>
              </w:rPr>
              <w:t>Transferencias de Capital</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4,328.5</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3,926.4</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-402.1</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-9.3%</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200" w:firstLine="400"/>
              <w:rPr>
                <w:sz w:val="20"/>
                <w:szCs w:val="20"/>
                <w:lang w:val="es-GT" w:eastAsia="es-GT"/>
              </w:rPr>
            </w:pPr>
            <w:r w:rsidRPr="004D036B">
              <w:rPr>
                <w:sz w:val="20"/>
                <w:szCs w:val="20"/>
                <w:lang w:val="es-GT" w:eastAsia="es-GT"/>
              </w:rPr>
              <w:t>Resto del Sector Público</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4,031.0</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3,871.7</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-159.3</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-4.0%</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200" w:firstLine="400"/>
              <w:rPr>
                <w:sz w:val="20"/>
                <w:szCs w:val="20"/>
                <w:lang w:val="es-GT" w:eastAsia="es-GT"/>
              </w:rPr>
            </w:pPr>
            <w:r w:rsidRPr="004D036B">
              <w:rPr>
                <w:sz w:val="20"/>
                <w:szCs w:val="20"/>
                <w:lang w:val="es-GT" w:eastAsia="es-GT"/>
              </w:rPr>
              <w:t>Sector Privado y Externo</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297.6</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54.7</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-242.9</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-81.6%</w:t>
            </w:r>
          </w:p>
        </w:tc>
      </w:tr>
      <w:tr w:rsidR="004D036B" w:rsidRPr="004D036B" w:rsidTr="004D036B">
        <w:trPr>
          <w:trHeight w:val="298"/>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rPr>
                <w:b/>
                <w:bCs/>
                <w:sz w:val="20"/>
                <w:szCs w:val="20"/>
                <w:lang w:val="es-GT" w:eastAsia="es-GT"/>
              </w:rPr>
            </w:pPr>
            <w:r w:rsidRPr="004D036B">
              <w:rPr>
                <w:b/>
                <w:bCs/>
                <w:sz w:val="20"/>
                <w:szCs w:val="20"/>
                <w:lang w:val="es-GT" w:eastAsia="es-GT"/>
              </w:rPr>
              <w:t>Más pago de préstamos:</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rPr>
                <w:sz w:val="20"/>
                <w:szCs w:val="20"/>
                <w:lang w:val="es-GT" w:eastAsia="es-GT"/>
              </w:rPr>
            </w:pPr>
            <w:r w:rsidRPr="004D036B">
              <w:rPr>
                <w:sz w:val="20"/>
                <w:szCs w:val="20"/>
                <w:lang w:val="es-GT" w:eastAsia="es-GT"/>
              </w:rPr>
              <w:t> </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rPr>
                <w:sz w:val="20"/>
                <w:szCs w:val="20"/>
                <w:lang w:val="es-GT" w:eastAsia="es-GT"/>
              </w:rPr>
            </w:pPr>
            <w:r w:rsidRPr="004D036B">
              <w:rPr>
                <w:sz w:val="20"/>
                <w:szCs w:val="20"/>
                <w:lang w:val="es-GT" w:eastAsia="es-GT"/>
              </w:rPr>
              <w:t> </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rPr>
                <w:sz w:val="20"/>
                <w:szCs w:val="20"/>
                <w:lang w:val="es-GT" w:eastAsia="es-GT"/>
              </w:rPr>
            </w:pPr>
            <w:r w:rsidRPr="004D036B">
              <w:rPr>
                <w:sz w:val="20"/>
                <w:szCs w:val="20"/>
                <w:lang w:val="es-GT" w:eastAsia="es-GT"/>
              </w:rPr>
              <w:t> </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rPr>
                <w:b/>
                <w:bCs/>
                <w:sz w:val="20"/>
                <w:szCs w:val="20"/>
                <w:lang w:val="es-GT" w:eastAsia="es-GT"/>
              </w:rPr>
            </w:pPr>
            <w:r w:rsidRPr="004D036B">
              <w:rPr>
                <w:b/>
                <w:bCs/>
                <w:sz w:val="20"/>
                <w:szCs w:val="20"/>
                <w:lang w:val="es-GT" w:eastAsia="es-GT"/>
              </w:rPr>
              <w:t> </w:t>
            </w:r>
          </w:p>
        </w:tc>
      </w:tr>
      <w:tr w:rsidR="004D036B" w:rsidRPr="004D036B" w:rsidTr="004D036B">
        <w:trPr>
          <w:trHeight w:val="255"/>
        </w:trPr>
        <w:tc>
          <w:tcPr>
            <w:tcW w:w="4268" w:type="dxa"/>
            <w:tcBorders>
              <w:top w:val="nil"/>
              <w:left w:val="single" w:sz="12" w:space="0" w:color="auto"/>
              <w:bottom w:val="nil"/>
              <w:right w:val="single" w:sz="4" w:space="0" w:color="auto"/>
            </w:tcBorders>
            <w:shd w:val="clear" w:color="000000" w:fill="FFFFFF"/>
            <w:noWrap/>
            <w:vAlign w:val="bottom"/>
            <w:hideMark/>
          </w:tcPr>
          <w:p w:rsidR="004D036B" w:rsidRPr="004D036B" w:rsidRDefault="004D036B" w:rsidP="004D036B">
            <w:pPr>
              <w:ind w:firstLineChars="100" w:firstLine="200"/>
              <w:rPr>
                <w:sz w:val="20"/>
                <w:szCs w:val="20"/>
                <w:lang w:val="es-GT" w:eastAsia="es-GT"/>
              </w:rPr>
            </w:pPr>
            <w:r w:rsidRPr="004D036B">
              <w:rPr>
                <w:sz w:val="20"/>
                <w:szCs w:val="20"/>
                <w:lang w:val="es-GT" w:eastAsia="es-GT"/>
              </w:rPr>
              <w:t>Amortizaciones</w:t>
            </w:r>
          </w:p>
        </w:tc>
        <w:tc>
          <w:tcPr>
            <w:tcW w:w="1232"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1,299.7</w:t>
            </w:r>
          </w:p>
        </w:tc>
        <w:tc>
          <w:tcPr>
            <w:tcW w:w="1178"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1,310.9</w:t>
            </w:r>
          </w:p>
        </w:tc>
        <w:tc>
          <w:tcPr>
            <w:tcW w:w="1275" w:type="dxa"/>
            <w:tcBorders>
              <w:top w:val="nil"/>
              <w:left w:val="nil"/>
              <w:bottom w:val="nil"/>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11.2</w:t>
            </w:r>
          </w:p>
        </w:tc>
        <w:tc>
          <w:tcPr>
            <w:tcW w:w="1276" w:type="dxa"/>
            <w:tcBorders>
              <w:top w:val="nil"/>
              <w:left w:val="nil"/>
              <w:bottom w:val="nil"/>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0.9%</w:t>
            </w:r>
          </w:p>
        </w:tc>
      </w:tr>
      <w:tr w:rsidR="004D036B" w:rsidRPr="004D036B" w:rsidTr="004D036B">
        <w:trPr>
          <w:trHeight w:val="270"/>
        </w:trPr>
        <w:tc>
          <w:tcPr>
            <w:tcW w:w="4268" w:type="dxa"/>
            <w:tcBorders>
              <w:top w:val="nil"/>
              <w:left w:val="single" w:sz="12" w:space="0" w:color="auto"/>
              <w:bottom w:val="single" w:sz="12" w:space="0" w:color="auto"/>
              <w:right w:val="single" w:sz="4" w:space="0" w:color="auto"/>
            </w:tcBorders>
            <w:shd w:val="clear" w:color="000000" w:fill="FFFFFF"/>
            <w:noWrap/>
            <w:vAlign w:val="bottom"/>
            <w:hideMark/>
          </w:tcPr>
          <w:p w:rsidR="004D036B" w:rsidRPr="004D036B" w:rsidRDefault="004D036B" w:rsidP="004D036B">
            <w:pPr>
              <w:ind w:firstLineChars="100" w:firstLine="200"/>
              <w:rPr>
                <w:sz w:val="20"/>
                <w:szCs w:val="20"/>
                <w:lang w:val="es-GT" w:eastAsia="es-GT"/>
              </w:rPr>
            </w:pPr>
            <w:r w:rsidRPr="004D036B">
              <w:rPr>
                <w:sz w:val="20"/>
                <w:szCs w:val="20"/>
                <w:lang w:val="es-GT" w:eastAsia="es-GT"/>
              </w:rPr>
              <w:t>Total del gasto presupuestario</w:t>
            </w:r>
          </w:p>
        </w:tc>
        <w:tc>
          <w:tcPr>
            <w:tcW w:w="1232" w:type="dxa"/>
            <w:tcBorders>
              <w:top w:val="nil"/>
              <w:left w:val="nil"/>
              <w:bottom w:val="single" w:sz="12" w:space="0" w:color="auto"/>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31,074.4</w:t>
            </w:r>
          </w:p>
        </w:tc>
        <w:tc>
          <w:tcPr>
            <w:tcW w:w="1178" w:type="dxa"/>
            <w:tcBorders>
              <w:top w:val="nil"/>
              <w:left w:val="nil"/>
              <w:bottom w:val="single" w:sz="12" w:space="0" w:color="auto"/>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28,650.0</w:t>
            </w:r>
          </w:p>
        </w:tc>
        <w:tc>
          <w:tcPr>
            <w:tcW w:w="1275" w:type="dxa"/>
            <w:tcBorders>
              <w:top w:val="nil"/>
              <w:left w:val="nil"/>
              <w:bottom w:val="single" w:sz="12" w:space="0" w:color="auto"/>
              <w:right w:val="single" w:sz="4" w:space="0" w:color="auto"/>
            </w:tcBorders>
            <w:shd w:val="clear" w:color="000000" w:fill="FFFFFF"/>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-2,424.4</w:t>
            </w:r>
          </w:p>
        </w:tc>
        <w:tc>
          <w:tcPr>
            <w:tcW w:w="1276" w:type="dxa"/>
            <w:tcBorders>
              <w:top w:val="nil"/>
              <w:left w:val="single" w:sz="4" w:space="0" w:color="auto"/>
              <w:bottom w:val="single" w:sz="12" w:space="0" w:color="auto"/>
              <w:right w:val="single" w:sz="12" w:space="0" w:color="auto"/>
            </w:tcBorders>
            <w:shd w:val="clear" w:color="auto" w:fill="auto"/>
            <w:noWrap/>
            <w:vAlign w:val="bottom"/>
            <w:hideMark/>
          </w:tcPr>
          <w:p w:rsidR="004D036B" w:rsidRPr="004D036B" w:rsidRDefault="004D036B" w:rsidP="004D036B">
            <w:pPr>
              <w:jc w:val="right"/>
              <w:rPr>
                <w:sz w:val="20"/>
                <w:szCs w:val="20"/>
                <w:lang w:val="es-GT" w:eastAsia="es-GT"/>
              </w:rPr>
            </w:pPr>
            <w:r w:rsidRPr="004D036B">
              <w:rPr>
                <w:sz w:val="20"/>
                <w:szCs w:val="20"/>
                <w:lang w:val="es-GT" w:eastAsia="es-GT"/>
              </w:rPr>
              <w:t>-7.8%</w:t>
            </w:r>
          </w:p>
        </w:tc>
      </w:tr>
    </w:tbl>
    <w:p w:rsidR="00FB641E" w:rsidRPr="003115F3" w:rsidRDefault="00FB641E" w:rsidP="00FB641E">
      <w:pPr>
        <w:rPr>
          <w:sz w:val="16"/>
          <w:lang w:val="es-MX"/>
        </w:rPr>
      </w:pPr>
      <w:r w:rsidRPr="003115F3">
        <w:rPr>
          <w:sz w:val="16"/>
          <w:lang w:val="es-MX"/>
        </w:rPr>
        <w:t>Fuente: Ministerio de Finanzas Públicas con base al SICOIN.</w:t>
      </w:r>
    </w:p>
    <w:p w:rsidR="00FB641E" w:rsidRPr="003115F3" w:rsidRDefault="00FB641E" w:rsidP="00FB641E">
      <w:pPr>
        <w:rPr>
          <w:sz w:val="16"/>
          <w:lang w:val="es-MX"/>
        </w:rPr>
      </w:pPr>
      <w:r w:rsidRPr="003115F3">
        <w:rPr>
          <w:sz w:val="16"/>
          <w:lang w:val="es-MX"/>
        </w:rPr>
        <w:t>* Cifras preliminares</w:t>
      </w:r>
    </w:p>
    <w:p w:rsidR="00FB641E" w:rsidRDefault="00FB641E" w:rsidP="00FB641E">
      <w:pPr>
        <w:rPr>
          <w:sz w:val="18"/>
          <w:lang w:val="es-MX"/>
        </w:rPr>
      </w:pPr>
    </w:p>
    <w:p w:rsidR="00BA01AE" w:rsidRDefault="00BA01AE" w:rsidP="00FB641E">
      <w:pPr>
        <w:rPr>
          <w:sz w:val="18"/>
          <w:lang w:val="es-MX"/>
        </w:rPr>
      </w:pPr>
    </w:p>
    <w:p w:rsidR="00FB641E" w:rsidRPr="00FB641E" w:rsidRDefault="00FB641E" w:rsidP="00FB641E">
      <w:pPr>
        <w:keepNext/>
        <w:keepLines/>
        <w:numPr>
          <w:ilvl w:val="2"/>
          <w:numId w:val="5"/>
        </w:numPr>
        <w:spacing w:before="200"/>
        <w:outlineLvl w:val="2"/>
        <w:rPr>
          <w:b/>
          <w:bCs/>
          <w:lang w:val="es-MX"/>
        </w:rPr>
      </w:pPr>
      <w:bookmarkStart w:id="11" w:name="_Toc460422671"/>
      <w:r w:rsidRPr="00FB641E">
        <w:rPr>
          <w:b/>
          <w:bCs/>
          <w:lang w:val="es-MX"/>
        </w:rPr>
        <w:lastRenderedPageBreak/>
        <w:t>Ejecución presupuestaria institucional</w:t>
      </w:r>
      <w:bookmarkEnd w:id="11"/>
    </w:p>
    <w:p w:rsidR="00FB641E" w:rsidRPr="00FB641E" w:rsidRDefault="00FB641E" w:rsidP="00FB641E">
      <w:pPr>
        <w:jc w:val="both"/>
        <w:rPr>
          <w:sz w:val="18"/>
          <w:lang w:val="es-MX"/>
        </w:rPr>
      </w:pPr>
    </w:p>
    <w:p w:rsidR="00FB641E" w:rsidRPr="00FB641E" w:rsidRDefault="00FB641E" w:rsidP="00FB641E">
      <w:pPr>
        <w:jc w:val="both"/>
        <w:rPr>
          <w:lang w:val="es-MX"/>
        </w:rPr>
      </w:pPr>
      <w:r w:rsidRPr="00FB641E">
        <w:rPr>
          <w:lang w:val="es-MX"/>
        </w:rPr>
        <w:t xml:space="preserve">En lo referente </w:t>
      </w:r>
      <w:r w:rsidR="00BA01AE">
        <w:rPr>
          <w:lang w:val="es-MX"/>
        </w:rPr>
        <w:t>al</w:t>
      </w:r>
      <w:r w:rsidRPr="00FB641E">
        <w:rPr>
          <w:lang w:val="es-MX"/>
        </w:rPr>
        <w:t xml:space="preserve"> gasto por entidad</w:t>
      </w:r>
      <w:r w:rsidR="00847EF2">
        <w:rPr>
          <w:lang w:val="es-MX"/>
        </w:rPr>
        <w:t>,</w:t>
      </w:r>
      <w:r w:rsidR="00BA01AE">
        <w:rPr>
          <w:lang w:val="es-MX"/>
        </w:rPr>
        <w:t xml:space="preserve"> </w:t>
      </w:r>
      <w:r w:rsidR="00BA01AE" w:rsidRPr="00BA01AE">
        <w:rPr>
          <w:lang w:val="es-MX"/>
        </w:rPr>
        <w:t>al 30 de junio de 2016</w:t>
      </w:r>
      <w:r w:rsidRPr="00FB641E">
        <w:rPr>
          <w:lang w:val="es-MX"/>
        </w:rPr>
        <w:t xml:space="preserve"> puede observarse </w:t>
      </w:r>
      <w:r w:rsidR="00BC245A">
        <w:rPr>
          <w:lang w:val="es-MX"/>
        </w:rPr>
        <w:t xml:space="preserve">que el </w:t>
      </w:r>
      <w:r w:rsidR="00BC245A" w:rsidRPr="00FB641E">
        <w:rPr>
          <w:lang w:val="es-MX"/>
        </w:rPr>
        <w:t xml:space="preserve">52.9% </w:t>
      </w:r>
      <w:r w:rsidR="00BC245A">
        <w:rPr>
          <w:lang w:val="es-MX"/>
        </w:rPr>
        <w:t>de la</w:t>
      </w:r>
      <w:r w:rsidR="00BA01AE">
        <w:rPr>
          <w:lang w:val="es-MX"/>
        </w:rPr>
        <w:t xml:space="preserve"> ejecución </w:t>
      </w:r>
      <w:r w:rsidR="00BC245A">
        <w:rPr>
          <w:lang w:val="es-MX"/>
        </w:rPr>
        <w:t>total corresponde a las</w:t>
      </w:r>
      <w:r w:rsidRPr="00FB641E">
        <w:rPr>
          <w:lang w:val="es-MX"/>
        </w:rPr>
        <w:t xml:space="preserve"> Obligaciones del Estado a Cargo del Tesoro y </w:t>
      </w:r>
      <w:r w:rsidR="00BC245A">
        <w:rPr>
          <w:lang w:val="es-MX"/>
        </w:rPr>
        <w:t>para</w:t>
      </w:r>
      <w:r w:rsidRPr="00FB641E">
        <w:rPr>
          <w:lang w:val="es-MX"/>
        </w:rPr>
        <w:t xml:space="preserve"> los Servicios de la Deuda Pública</w:t>
      </w:r>
      <w:r w:rsidR="00BC245A">
        <w:rPr>
          <w:lang w:val="es-MX"/>
        </w:rPr>
        <w:t>, así como</w:t>
      </w:r>
      <w:r w:rsidRPr="00FB641E">
        <w:rPr>
          <w:lang w:val="es-MX"/>
        </w:rPr>
        <w:t xml:space="preserve"> para atender compromisos de </w:t>
      </w:r>
      <w:r w:rsidR="00BC245A">
        <w:rPr>
          <w:lang w:val="es-MX"/>
        </w:rPr>
        <w:t xml:space="preserve">los </w:t>
      </w:r>
      <w:r w:rsidRPr="00FB641E">
        <w:rPr>
          <w:lang w:val="es-MX"/>
        </w:rPr>
        <w:t xml:space="preserve">aportes constitucionales y </w:t>
      </w:r>
      <w:r w:rsidR="00BC245A">
        <w:rPr>
          <w:lang w:val="es-MX"/>
        </w:rPr>
        <w:t xml:space="preserve">que </w:t>
      </w:r>
      <w:r w:rsidRPr="00FB641E">
        <w:rPr>
          <w:lang w:val="es-MX"/>
        </w:rPr>
        <w:t xml:space="preserve">por leyes específicas </w:t>
      </w:r>
      <w:r w:rsidR="00BC245A">
        <w:rPr>
          <w:lang w:val="es-MX"/>
        </w:rPr>
        <w:t>deben hacerse a favor de</w:t>
      </w:r>
      <w:r w:rsidRPr="00FB641E">
        <w:rPr>
          <w:lang w:val="es-MX"/>
        </w:rPr>
        <w:t xml:space="preserve"> las 340 municipalidades del país, </w:t>
      </w:r>
      <w:r w:rsidR="00BC245A">
        <w:rPr>
          <w:lang w:val="es-MX"/>
        </w:rPr>
        <w:t xml:space="preserve">los </w:t>
      </w:r>
      <w:r w:rsidRPr="00FB641E">
        <w:rPr>
          <w:lang w:val="es-MX"/>
        </w:rPr>
        <w:t xml:space="preserve">Consejos Departamentales de Desarrollo, </w:t>
      </w:r>
      <w:r w:rsidR="00BC245A">
        <w:rPr>
          <w:lang w:val="es-MX"/>
        </w:rPr>
        <w:t xml:space="preserve">la </w:t>
      </w:r>
      <w:r w:rsidRPr="00FB641E">
        <w:rPr>
          <w:lang w:val="es-MX"/>
        </w:rPr>
        <w:t xml:space="preserve">Universidad de San Carlos de Guatemala, </w:t>
      </w:r>
      <w:r w:rsidR="00BC245A">
        <w:rPr>
          <w:lang w:val="es-MX"/>
        </w:rPr>
        <w:t xml:space="preserve">el </w:t>
      </w:r>
      <w:r w:rsidRPr="00FB641E">
        <w:rPr>
          <w:lang w:val="es-MX"/>
        </w:rPr>
        <w:t xml:space="preserve">Organismo Judicial, </w:t>
      </w:r>
      <w:r w:rsidR="00BC245A">
        <w:rPr>
          <w:lang w:val="es-MX"/>
        </w:rPr>
        <w:t xml:space="preserve">el </w:t>
      </w:r>
      <w:r w:rsidRPr="00FB641E">
        <w:rPr>
          <w:lang w:val="es-MX"/>
        </w:rPr>
        <w:t xml:space="preserve">Ministerio Público, </w:t>
      </w:r>
      <w:r w:rsidR="00BC245A">
        <w:rPr>
          <w:lang w:val="es-MX"/>
        </w:rPr>
        <w:t xml:space="preserve">el </w:t>
      </w:r>
      <w:r w:rsidRPr="00FB641E">
        <w:rPr>
          <w:lang w:val="es-MX"/>
        </w:rPr>
        <w:t xml:space="preserve">Congreso de la República, </w:t>
      </w:r>
      <w:r w:rsidR="00BC245A">
        <w:rPr>
          <w:lang w:val="es-MX"/>
        </w:rPr>
        <w:t xml:space="preserve">la </w:t>
      </w:r>
      <w:r w:rsidRPr="00FB641E">
        <w:rPr>
          <w:lang w:val="es-MX"/>
        </w:rPr>
        <w:t xml:space="preserve">Contraloría General de Cuentas, </w:t>
      </w:r>
      <w:r w:rsidR="00BC245A">
        <w:rPr>
          <w:lang w:val="es-MX"/>
        </w:rPr>
        <w:t xml:space="preserve">la </w:t>
      </w:r>
      <w:r w:rsidRPr="00FB641E">
        <w:rPr>
          <w:lang w:val="es-MX"/>
        </w:rPr>
        <w:t>Corte de Constitucionalidad, entre otros, así como para cubrir el programa de pagos de la deuda pública.</w:t>
      </w:r>
      <w:r w:rsidR="006C0E09">
        <w:rPr>
          <w:lang w:val="es-MX"/>
        </w:rPr>
        <w:t xml:space="preserve"> A la misma fecha del 2015 la ejecución de ambas entidades alcanzó el 49.5% de la ejecución presupuestaria total.</w:t>
      </w:r>
    </w:p>
    <w:p w:rsidR="00FB641E" w:rsidRPr="00FB641E" w:rsidRDefault="00FB641E" w:rsidP="00FB641E">
      <w:pPr>
        <w:jc w:val="both"/>
        <w:rPr>
          <w:sz w:val="18"/>
          <w:lang w:val="es-MX"/>
        </w:rPr>
      </w:pPr>
    </w:p>
    <w:p w:rsidR="006C0E09" w:rsidRDefault="00FB641E" w:rsidP="00FB641E">
      <w:pPr>
        <w:jc w:val="both"/>
        <w:rPr>
          <w:lang w:val="es-MX"/>
        </w:rPr>
      </w:pPr>
      <w:r w:rsidRPr="00FB641E">
        <w:rPr>
          <w:lang w:val="es-MX"/>
        </w:rPr>
        <w:t xml:space="preserve">El 37.1% </w:t>
      </w:r>
      <w:r w:rsidR="00333AB5">
        <w:rPr>
          <w:lang w:val="es-MX"/>
        </w:rPr>
        <w:t xml:space="preserve">de lo ejecutado </w:t>
      </w:r>
      <w:r w:rsidRPr="00FB641E">
        <w:rPr>
          <w:lang w:val="es-MX"/>
        </w:rPr>
        <w:t xml:space="preserve">se </w:t>
      </w:r>
      <w:r w:rsidR="00B21B47">
        <w:rPr>
          <w:lang w:val="es-MX"/>
        </w:rPr>
        <w:t xml:space="preserve">ha </w:t>
      </w:r>
      <w:r w:rsidR="00B21B47" w:rsidRPr="00FB641E">
        <w:rPr>
          <w:lang w:val="es-MX"/>
        </w:rPr>
        <w:t>destina</w:t>
      </w:r>
      <w:r w:rsidR="00B21B47">
        <w:rPr>
          <w:lang w:val="es-MX"/>
        </w:rPr>
        <w:t>do</w:t>
      </w:r>
      <w:r w:rsidRPr="00FB641E">
        <w:rPr>
          <w:lang w:val="es-MX"/>
        </w:rPr>
        <w:t xml:space="preserve"> </w:t>
      </w:r>
      <w:r w:rsidR="00B21B47">
        <w:rPr>
          <w:lang w:val="es-MX"/>
        </w:rPr>
        <w:t>a</w:t>
      </w:r>
      <w:r w:rsidRPr="00FB641E">
        <w:rPr>
          <w:lang w:val="es-MX"/>
        </w:rPr>
        <w:t xml:space="preserve"> la atención de las necesidades prioritarias de la población, en los sectores de educación, salud, seguridad interna, vivienda, </w:t>
      </w:r>
      <w:r w:rsidR="00333AB5">
        <w:rPr>
          <w:lang w:val="es-MX"/>
        </w:rPr>
        <w:t xml:space="preserve">e </w:t>
      </w:r>
      <w:r w:rsidRPr="00FB641E">
        <w:rPr>
          <w:lang w:val="es-MX"/>
        </w:rPr>
        <w:t>infraestructura, entre otros</w:t>
      </w:r>
      <w:r w:rsidR="006C0E09">
        <w:rPr>
          <w:lang w:val="es-MX"/>
        </w:rPr>
        <w:t xml:space="preserve">. Al 30 de junio de 2015 la ejecución en dichos sectores alcanzó el 39.4% del total, </w:t>
      </w:r>
      <w:r w:rsidR="00692914">
        <w:rPr>
          <w:lang w:val="es-MX"/>
        </w:rPr>
        <w:t>principalmente por el nivel de ejecución que habían alcanzado los Ministerios de Salud Pública y Asistencia Social y de Comunicaciones, Infraestructura y Vivienda.</w:t>
      </w:r>
    </w:p>
    <w:p w:rsidR="006C0E09" w:rsidRDefault="006C0E09" w:rsidP="00FB641E">
      <w:pPr>
        <w:jc w:val="both"/>
        <w:rPr>
          <w:lang w:val="es-MX"/>
        </w:rPr>
      </w:pPr>
    </w:p>
    <w:p w:rsidR="00FB641E" w:rsidRPr="00FB641E" w:rsidRDefault="00FB641E" w:rsidP="00FB641E">
      <w:pPr>
        <w:jc w:val="both"/>
        <w:rPr>
          <w:lang w:val="es-MX"/>
        </w:rPr>
      </w:pPr>
      <w:r w:rsidRPr="00FB641E">
        <w:rPr>
          <w:lang w:val="es-MX"/>
        </w:rPr>
        <w:t xml:space="preserve">El 10.0% restante </w:t>
      </w:r>
      <w:r w:rsidR="00692914">
        <w:rPr>
          <w:lang w:val="es-MX"/>
        </w:rPr>
        <w:t xml:space="preserve">en 2016 </w:t>
      </w:r>
      <w:r w:rsidRPr="00FB641E">
        <w:rPr>
          <w:lang w:val="es-MX"/>
        </w:rPr>
        <w:t>se destina para cubrir los gastos de funcionamiento e inversión de las demás entidades de la Administración Central</w:t>
      </w:r>
      <w:r w:rsidR="00692914">
        <w:rPr>
          <w:lang w:val="es-MX"/>
        </w:rPr>
        <w:t>, mientras que a la misma fecha del 2015 tenían una ejecución del 11.1%, con relación al total ejecutado</w:t>
      </w:r>
      <w:r w:rsidRPr="00FB641E">
        <w:rPr>
          <w:lang w:val="es-MX"/>
        </w:rPr>
        <w:t>.</w:t>
      </w:r>
    </w:p>
    <w:p w:rsidR="00FB641E" w:rsidRPr="00FB641E" w:rsidRDefault="00FB641E" w:rsidP="00FB641E">
      <w:pPr>
        <w:jc w:val="both"/>
        <w:rPr>
          <w:lang w:val="es-MX"/>
        </w:rPr>
      </w:pPr>
    </w:p>
    <w:p w:rsidR="00FB641E" w:rsidRPr="00FB641E" w:rsidRDefault="00FB641E" w:rsidP="00FB641E">
      <w:pPr>
        <w:jc w:val="both"/>
        <w:rPr>
          <w:lang w:val="es-MX"/>
        </w:rPr>
      </w:pPr>
      <w:r w:rsidRPr="00FB641E">
        <w:rPr>
          <w:lang w:val="es-MX"/>
        </w:rPr>
        <w:t>En lo referente a la disminución en la ejecución presupuestaria d</w:t>
      </w:r>
      <w:r w:rsidR="00B21B47">
        <w:rPr>
          <w:lang w:val="es-MX"/>
        </w:rPr>
        <w:t xml:space="preserve">urante </w:t>
      </w:r>
      <w:r w:rsidRPr="00FB641E">
        <w:rPr>
          <w:lang w:val="es-MX"/>
        </w:rPr>
        <w:t>este año, se observan re</w:t>
      </w:r>
      <w:r w:rsidR="00B21B47">
        <w:rPr>
          <w:lang w:val="es-MX"/>
        </w:rPr>
        <w:t>ducciones</w:t>
      </w:r>
      <w:r w:rsidRPr="00FB641E">
        <w:rPr>
          <w:lang w:val="es-MX"/>
        </w:rPr>
        <w:t xml:space="preserve"> considerables en el Ministerio de Comunicaciones, Infraestructura y Vivienda con Q1,116.1 millones; Ministerio de Salud Pública y Asistencia Social con Q342.1 millones; Ministerio de Gobernación con Q283.4 millones; Ministerio de Desarrollo Social con Q221.8 millones y Obligaciones del Estado a Cargo del Tesoro con Q174.8 millones, argumentando varias instituciones que las causas derivan principalmente de las Reformas a la Ley de Contrataciones del Estado que ha alargado los plazos de los procesos de cotización y licitación pública, por lo que han optado por efectuar compras directas.</w:t>
      </w:r>
    </w:p>
    <w:p w:rsidR="003132DD" w:rsidRDefault="003132DD" w:rsidP="00FB641E">
      <w:pPr>
        <w:jc w:val="center"/>
        <w:rPr>
          <w:b/>
          <w:sz w:val="22"/>
          <w:lang w:val="es-MX"/>
        </w:rPr>
      </w:pPr>
    </w:p>
    <w:p w:rsidR="00DF3E49" w:rsidRDefault="00DF3E49" w:rsidP="00FB641E">
      <w:pPr>
        <w:jc w:val="center"/>
        <w:rPr>
          <w:b/>
          <w:sz w:val="22"/>
          <w:lang w:val="es-MX"/>
        </w:rPr>
      </w:pPr>
    </w:p>
    <w:p w:rsidR="00853134" w:rsidRPr="00AC33DC" w:rsidRDefault="00853134" w:rsidP="00853134">
      <w:pPr>
        <w:jc w:val="center"/>
        <w:rPr>
          <w:b/>
          <w:sz w:val="22"/>
          <w:lang w:val="es-MX"/>
        </w:rPr>
      </w:pPr>
      <w:r w:rsidRPr="00AC33DC">
        <w:rPr>
          <w:b/>
          <w:sz w:val="22"/>
          <w:lang w:val="es-MX"/>
        </w:rPr>
        <w:t>Gráfica</w:t>
      </w:r>
      <w:r>
        <w:rPr>
          <w:b/>
          <w:sz w:val="22"/>
          <w:lang w:val="es-MX"/>
        </w:rPr>
        <w:t xml:space="preserve"> </w:t>
      </w:r>
      <w:r w:rsidR="00DF3E49">
        <w:rPr>
          <w:b/>
          <w:sz w:val="22"/>
          <w:lang w:val="es-MX"/>
        </w:rPr>
        <w:t>5</w:t>
      </w:r>
    </w:p>
    <w:p w:rsidR="00853134" w:rsidRPr="00AC33DC" w:rsidRDefault="00DF3E49" w:rsidP="00853134">
      <w:pPr>
        <w:jc w:val="center"/>
        <w:rPr>
          <w:b/>
          <w:sz w:val="22"/>
          <w:lang w:val="es-MX"/>
        </w:rPr>
      </w:pPr>
      <w:r>
        <w:rPr>
          <w:b/>
          <w:sz w:val="22"/>
          <w:lang w:val="es-MX"/>
        </w:rPr>
        <w:t>Ejecución Presupuestaria por Grupo de Entidades</w:t>
      </w:r>
    </w:p>
    <w:p w:rsidR="00853134" w:rsidRDefault="00853134" w:rsidP="00853134">
      <w:pPr>
        <w:jc w:val="center"/>
        <w:rPr>
          <w:i/>
          <w:sz w:val="22"/>
          <w:lang w:val="es-MX"/>
        </w:rPr>
      </w:pPr>
      <w:r w:rsidRPr="00106CF0">
        <w:rPr>
          <w:i/>
          <w:sz w:val="22"/>
          <w:lang w:val="es-MX"/>
        </w:rPr>
        <w:t>Comparativo al 30 de junio de cada año</w:t>
      </w:r>
    </w:p>
    <w:p w:rsidR="00FA17BE" w:rsidRDefault="00FA17BE" w:rsidP="00853134">
      <w:pPr>
        <w:jc w:val="center"/>
        <w:rPr>
          <w:i/>
          <w:sz w:val="22"/>
          <w:lang w:val="es-MX"/>
        </w:rPr>
      </w:pPr>
      <w:r w:rsidRPr="00106CF0">
        <w:rPr>
          <w:i/>
          <w:sz w:val="22"/>
          <w:lang w:val="es-MX"/>
        </w:rPr>
        <w:t>(Cifras en Porcentajes)</w:t>
      </w:r>
    </w:p>
    <w:p w:rsidR="00133286" w:rsidRDefault="00C14B92" w:rsidP="00C14B92">
      <w:pPr>
        <w:jc w:val="right"/>
        <w:rPr>
          <w:i/>
          <w:sz w:val="22"/>
          <w:lang w:val="es-MX"/>
        </w:rPr>
      </w:pPr>
      <w:r>
        <w:rPr>
          <w:noProof/>
          <w:lang w:val="es-GT" w:eastAsia="es-GT"/>
        </w:rPr>
        <w:drawing>
          <wp:inline distT="0" distB="0" distL="0" distR="0" wp14:anchorId="702B5A51" wp14:editId="4A34CC7D">
            <wp:extent cx="2197289" cy="1828800"/>
            <wp:effectExtent l="3810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133286">
        <w:rPr>
          <w:noProof/>
          <w:lang w:val="es-GT" w:eastAsia="es-GT"/>
        </w:rPr>
        <w:drawing>
          <wp:inline distT="0" distB="0" distL="0" distR="0" wp14:anchorId="6695A303" wp14:editId="159B8E7F">
            <wp:extent cx="3418765" cy="1821976"/>
            <wp:effectExtent l="38100" t="0" r="0" b="698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14B92" w:rsidRPr="003115F3" w:rsidRDefault="00C14B92" w:rsidP="00C14B92">
      <w:pPr>
        <w:ind w:left="142"/>
        <w:rPr>
          <w:sz w:val="16"/>
          <w:lang w:val="es-MX"/>
        </w:rPr>
      </w:pPr>
      <w:r w:rsidRPr="003115F3">
        <w:rPr>
          <w:sz w:val="16"/>
          <w:lang w:val="es-MX"/>
        </w:rPr>
        <w:t>Fuente: Ministerio de Finanzas Públicas con base al SICOIN.</w:t>
      </w:r>
    </w:p>
    <w:p w:rsidR="00C14B92" w:rsidRPr="003115F3" w:rsidRDefault="00C14B92" w:rsidP="00C14B92">
      <w:pPr>
        <w:ind w:left="142"/>
        <w:rPr>
          <w:sz w:val="16"/>
          <w:lang w:val="es-MX"/>
        </w:rPr>
      </w:pPr>
      <w:r w:rsidRPr="003115F3">
        <w:rPr>
          <w:sz w:val="16"/>
          <w:lang w:val="es-MX"/>
        </w:rPr>
        <w:t>* Cifras preliminares</w:t>
      </w:r>
    </w:p>
    <w:p w:rsidR="003132DD" w:rsidRDefault="003132DD">
      <w:pPr>
        <w:rPr>
          <w:b/>
          <w:sz w:val="22"/>
          <w:lang w:val="es-MX"/>
        </w:rPr>
      </w:pPr>
    </w:p>
    <w:p w:rsidR="00FB641E" w:rsidRPr="00FB641E" w:rsidRDefault="00FB641E" w:rsidP="00FB641E">
      <w:pPr>
        <w:jc w:val="center"/>
        <w:rPr>
          <w:b/>
          <w:sz w:val="22"/>
          <w:lang w:val="es-MX"/>
        </w:rPr>
      </w:pPr>
      <w:r w:rsidRPr="00FB641E">
        <w:rPr>
          <w:b/>
          <w:sz w:val="22"/>
          <w:lang w:val="es-MX"/>
        </w:rPr>
        <w:t xml:space="preserve">Cuadro </w:t>
      </w:r>
      <w:r w:rsidR="00B21B47">
        <w:rPr>
          <w:b/>
          <w:sz w:val="22"/>
          <w:lang w:val="es-MX"/>
        </w:rPr>
        <w:t>4</w:t>
      </w:r>
    </w:p>
    <w:p w:rsidR="00FB641E" w:rsidRPr="00FB641E" w:rsidRDefault="00FB641E" w:rsidP="00FB641E">
      <w:pPr>
        <w:jc w:val="center"/>
        <w:rPr>
          <w:b/>
          <w:sz w:val="22"/>
          <w:lang w:val="es-MX"/>
        </w:rPr>
      </w:pPr>
      <w:r w:rsidRPr="00FB641E">
        <w:rPr>
          <w:b/>
          <w:sz w:val="22"/>
          <w:lang w:val="es-MX"/>
        </w:rPr>
        <w:t>Ejecución Presupuestaria por Entidad</w:t>
      </w:r>
    </w:p>
    <w:p w:rsidR="00FB641E" w:rsidRPr="00333AB5" w:rsidRDefault="00FB641E" w:rsidP="00FB641E">
      <w:pPr>
        <w:jc w:val="center"/>
        <w:rPr>
          <w:i/>
          <w:sz w:val="22"/>
          <w:lang w:val="es-MX"/>
        </w:rPr>
      </w:pPr>
      <w:r w:rsidRPr="00333AB5">
        <w:rPr>
          <w:i/>
          <w:sz w:val="22"/>
          <w:lang w:val="es-MX"/>
        </w:rPr>
        <w:t>Al 30 de junio de cada año</w:t>
      </w:r>
    </w:p>
    <w:p w:rsidR="00FB641E" w:rsidRDefault="00FB641E" w:rsidP="00FB641E">
      <w:pPr>
        <w:jc w:val="center"/>
        <w:rPr>
          <w:i/>
          <w:sz w:val="22"/>
          <w:lang w:val="es-MX"/>
        </w:rPr>
      </w:pPr>
      <w:r w:rsidRPr="00333AB5">
        <w:rPr>
          <w:i/>
          <w:sz w:val="22"/>
          <w:lang w:val="es-MX"/>
        </w:rPr>
        <w:t>(Cifras en Millones de Quetzales)</w:t>
      </w:r>
    </w:p>
    <w:tbl>
      <w:tblPr>
        <w:tblW w:w="9100" w:type="dxa"/>
        <w:tblInd w:w="55" w:type="dxa"/>
        <w:tblCellMar>
          <w:left w:w="70" w:type="dxa"/>
          <w:right w:w="70" w:type="dxa"/>
        </w:tblCellMar>
        <w:tblLook w:val="04A0" w:firstRow="1" w:lastRow="0" w:firstColumn="1" w:lastColumn="0" w:noHBand="0" w:noVBand="1"/>
      </w:tblPr>
      <w:tblGrid>
        <w:gridCol w:w="3984"/>
        <w:gridCol w:w="1276"/>
        <w:gridCol w:w="1225"/>
        <w:gridCol w:w="1376"/>
        <w:gridCol w:w="1239"/>
      </w:tblGrid>
      <w:tr w:rsidR="008279FE" w:rsidRPr="008279FE" w:rsidTr="008279FE">
        <w:trPr>
          <w:trHeight w:val="315"/>
        </w:trPr>
        <w:tc>
          <w:tcPr>
            <w:tcW w:w="3984" w:type="dxa"/>
            <w:vMerge w:val="restart"/>
            <w:tcBorders>
              <w:top w:val="single" w:sz="12" w:space="0" w:color="auto"/>
              <w:left w:val="single" w:sz="12" w:space="0" w:color="auto"/>
              <w:bottom w:val="single" w:sz="12" w:space="0" w:color="000000"/>
              <w:right w:val="single" w:sz="4" w:space="0" w:color="auto"/>
            </w:tcBorders>
            <w:shd w:val="clear" w:color="000000" w:fill="8DB4E2"/>
            <w:vAlign w:val="center"/>
            <w:hideMark/>
          </w:tcPr>
          <w:p w:rsidR="008279FE" w:rsidRPr="008279FE" w:rsidRDefault="008279FE" w:rsidP="008279FE">
            <w:pPr>
              <w:jc w:val="center"/>
              <w:rPr>
                <w:b/>
                <w:bCs/>
                <w:color w:val="000000"/>
                <w:sz w:val="20"/>
                <w:szCs w:val="20"/>
                <w:lang w:val="es-GT" w:eastAsia="es-GT"/>
              </w:rPr>
            </w:pPr>
            <w:r w:rsidRPr="008279FE">
              <w:rPr>
                <w:b/>
                <w:bCs/>
                <w:color w:val="000000"/>
                <w:sz w:val="20"/>
                <w:szCs w:val="20"/>
                <w:lang w:val="es-GT" w:eastAsia="es-GT"/>
              </w:rPr>
              <w:t>Entidad</w:t>
            </w:r>
          </w:p>
        </w:tc>
        <w:tc>
          <w:tcPr>
            <w:tcW w:w="1276" w:type="dxa"/>
            <w:vMerge w:val="restart"/>
            <w:tcBorders>
              <w:top w:val="single" w:sz="12" w:space="0" w:color="auto"/>
              <w:left w:val="single" w:sz="4" w:space="0" w:color="auto"/>
              <w:bottom w:val="single" w:sz="12" w:space="0" w:color="000000"/>
              <w:right w:val="single" w:sz="4" w:space="0" w:color="auto"/>
            </w:tcBorders>
            <w:shd w:val="clear" w:color="000000" w:fill="8DB4E2"/>
            <w:vAlign w:val="center"/>
            <w:hideMark/>
          </w:tcPr>
          <w:p w:rsidR="008279FE" w:rsidRPr="008279FE" w:rsidRDefault="008279FE" w:rsidP="008279FE">
            <w:pPr>
              <w:jc w:val="center"/>
              <w:rPr>
                <w:b/>
                <w:bCs/>
                <w:color w:val="000000"/>
                <w:sz w:val="20"/>
                <w:szCs w:val="20"/>
                <w:lang w:val="es-GT" w:eastAsia="es-GT"/>
              </w:rPr>
            </w:pPr>
            <w:r w:rsidRPr="008279FE">
              <w:rPr>
                <w:b/>
                <w:bCs/>
                <w:color w:val="000000"/>
                <w:sz w:val="20"/>
                <w:szCs w:val="20"/>
                <w:lang w:val="es-GT" w:eastAsia="es-GT"/>
              </w:rPr>
              <w:t>2015</w:t>
            </w:r>
          </w:p>
        </w:tc>
        <w:tc>
          <w:tcPr>
            <w:tcW w:w="1225" w:type="dxa"/>
            <w:vMerge w:val="restart"/>
            <w:tcBorders>
              <w:top w:val="single" w:sz="12" w:space="0" w:color="auto"/>
              <w:left w:val="single" w:sz="4" w:space="0" w:color="auto"/>
              <w:bottom w:val="single" w:sz="12" w:space="0" w:color="000000"/>
              <w:right w:val="single" w:sz="4" w:space="0" w:color="auto"/>
            </w:tcBorders>
            <w:shd w:val="clear" w:color="000000" w:fill="8DB4E2"/>
            <w:vAlign w:val="center"/>
            <w:hideMark/>
          </w:tcPr>
          <w:p w:rsidR="008279FE" w:rsidRPr="008279FE" w:rsidRDefault="008279FE" w:rsidP="008279FE">
            <w:pPr>
              <w:jc w:val="center"/>
              <w:rPr>
                <w:b/>
                <w:bCs/>
                <w:color w:val="000000"/>
                <w:sz w:val="20"/>
                <w:szCs w:val="20"/>
                <w:lang w:val="es-GT" w:eastAsia="es-GT"/>
              </w:rPr>
            </w:pPr>
            <w:r w:rsidRPr="008279FE">
              <w:rPr>
                <w:b/>
                <w:bCs/>
                <w:color w:val="000000"/>
                <w:sz w:val="20"/>
                <w:szCs w:val="20"/>
                <w:lang w:val="es-GT" w:eastAsia="es-GT"/>
              </w:rPr>
              <w:t>2016</w:t>
            </w:r>
          </w:p>
        </w:tc>
        <w:tc>
          <w:tcPr>
            <w:tcW w:w="2615" w:type="dxa"/>
            <w:gridSpan w:val="2"/>
            <w:tcBorders>
              <w:top w:val="single" w:sz="12" w:space="0" w:color="auto"/>
              <w:left w:val="nil"/>
              <w:bottom w:val="single" w:sz="4" w:space="0" w:color="auto"/>
              <w:right w:val="single" w:sz="12" w:space="0" w:color="000000"/>
            </w:tcBorders>
            <w:shd w:val="clear" w:color="000000" w:fill="8DB4E2"/>
            <w:noWrap/>
            <w:vAlign w:val="bottom"/>
            <w:hideMark/>
          </w:tcPr>
          <w:p w:rsidR="008279FE" w:rsidRPr="008279FE" w:rsidRDefault="008279FE" w:rsidP="008279FE">
            <w:pPr>
              <w:jc w:val="center"/>
              <w:rPr>
                <w:b/>
                <w:bCs/>
                <w:color w:val="000000"/>
                <w:sz w:val="20"/>
                <w:szCs w:val="20"/>
                <w:lang w:val="es-GT" w:eastAsia="es-GT"/>
              </w:rPr>
            </w:pPr>
            <w:r w:rsidRPr="008279FE">
              <w:rPr>
                <w:b/>
                <w:bCs/>
                <w:color w:val="000000"/>
                <w:sz w:val="20"/>
                <w:szCs w:val="20"/>
                <w:lang w:val="es-GT" w:eastAsia="es-GT"/>
              </w:rPr>
              <w:t>Diferencias 2016 - 2015</w:t>
            </w:r>
          </w:p>
        </w:tc>
      </w:tr>
      <w:tr w:rsidR="000E3F15" w:rsidRPr="008279FE" w:rsidTr="008279FE">
        <w:trPr>
          <w:trHeight w:val="315"/>
        </w:trPr>
        <w:tc>
          <w:tcPr>
            <w:tcW w:w="3984" w:type="dxa"/>
            <w:vMerge/>
            <w:tcBorders>
              <w:top w:val="single" w:sz="12" w:space="0" w:color="auto"/>
              <w:left w:val="single" w:sz="12" w:space="0" w:color="auto"/>
              <w:bottom w:val="single" w:sz="12" w:space="0" w:color="000000"/>
              <w:right w:val="single" w:sz="4" w:space="0" w:color="auto"/>
            </w:tcBorders>
            <w:vAlign w:val="center"/>
            <w:hideMark/>
          </w:tcPr>
          <w:p w:rsidR="008279FE" w:rsidRPr="008279FE" w:rsidRDefault="008279FE" w:rsidP="008279FE">
            <w:pPr>
              <w:rPr>
                <w:b/>
                <w:bCs/>
                <w:color w:val="000000"/>
                <w:sz w:val="20"/>
                <w:szCs w:val="20"/>
                <w:lang w:val="es-GT" w:eastAsia="es-GT"/>
              </w:rPr>
            </w:pPr>
          </w:p>
        </w:tc>
        <w:tc>
          <w:tcPr>
            <w:tcW w:w="1276" w:type="dxa"/>
            <w:vMerge/>
            <w:tcBorders>
              <w:top w:val="single" w:sz="12" w:space="0" w:color="auto"/>
              <w:left w:val="single" w:sz="4" w:space="0" w:color="auto"/>
              <w:bottom w:val="single" w:sz="12" w:space="0" w:color="000000"/>
              <w:right w:val="single" w:sz="4" w:space="0" w:color="auto"/>
            </w:tcBorders>
            <w:vAlign w:val="center"/>
            <w:hideMark/>
          </w:tcPr>
          <w:p w:rsidR="008279FE" w:rsidRPr="008279FE" w:rsidRDefault="008279FE" w:rsidP="008279FE">
            <w:pPr>
              <w:rPr>
                <w:b/>
                <w:bCs/>
                <w:color w:val="000000"/>
                <w:sz w:val="20"/>
                <w:szCs w:val="20"/>
                <w:lang w:val="es-GT" w:eastAsia="es-GT"/>
              </w:rPr>
            </w:pPr>
          </w:p>
        </w:tc>
        <w:tc>
          <w:tcPr>
            <w:tcW w:w="1225" w:type="dxa"/>
            <w:vMerge/>
            <w:tcBorders>
              <w:top w:val="single" w:sz="12" w:space="0" w:color="auto"/>
              <w:left w:val="single" w:sz="4" w:space="0" w:color="auto"/>
              <w:bottom w:val="single" w:sz="12" w:space="0" w:color="000000"/>
              <w:right w:val="single" w:sz="4" w:space="0" w:color="auto"/>
            </w:tcBorders>
            <w:vAlign w:val="center"/>
            <w:hideMark/>
          </w:tcPr>
          <w:p w:rsidR="008279FE" w:rsidRPr="008279FE" w:rsidRDefault="008279FE" w:rsidP="008279FE">
            <w:pPr>
              <w:rPr>
                <w:b/>
                <w:bCs/>
                <w:color w:val="000000"/>
                <w:sz w:val="20"/>
                <w:szCs w:val="20"/>
                <w:lang w:val="es-GT" w:eastAsia="es-GT"/>
              </w:rPr>
            </w:pPr>
          </w:p>
        </w:tc>
        <w:tc>
          <w:tcPr>
            <w:tcW w:w="1376" w:type="dxa"/>
            <w:tcBorders>
              <w:top w:val="nil"/>
              <w:left w:val="nil"/>
              <w:bottom w:val="single" w:sz="12" w:space="0" w:color="auto"/>
              <w:right w:val="single" w:sz="4" w:space="0" w:color="auto"/>
            </w:tcBorders>
            <w:shd w:val="clear" w:color="000000" w:fill="8DB4E2"/>
            <w:noWrap/>
            <w:vAlign w:val="bottom"/>
            <w:hideMark/>
          </w:tcPr>
          <w:p w:rsidR="008279FE" w:rsidRPr="008279FE" w:rsidRDefault="008279FE" w:rsidP="008279FE">
            <w:pPr>
              <w:jc w:val="center"/>
              <w:rPr>
                <w:b/>
                <w:bCs/>
                <w:color w:val="000000"/>
                <w:sz w:val="20"/>
                <w:szCs w:val="20"/>
                <w:lang w:val="es-GT" w:eastAsia="es-GT"/>
              </w:rPr>
            </w:pPr>
            <w:r w:rsidRPr="008279FE">
              <w:rPr>
                <w:b/>
                <w:bCs/>
                <w:color w:val="000000"/>
                <w:sz w:val="20"/>
                <w:szCs w:val="20"/>
                <w:lang w:val="es-GT" w:eastAsia="es-GT"/>
              </w:rPr>
              <w:t>Absolutas</w:t>
            </w:r>
          </w:p>
        </w:tc>
        <w:tc>
          <w:tcPr>
            <w:tcW w:w="1239" w:type="dxa"/>
            <w:tcBorders>
              <w:top w:val="nil"/>
              <w:left w:val="nil"/>
              <w:bottom w:val="single" w:sz="12" w:space="0" w:color="auto"/>
              <w:right w:val="single" w:sz="12" w:space="0" w:color="auto"/>
            </w:tcBorders>
            <w:shd w:val="clear" w:color="000000" w:fill="8DB4E2"/>
            <w:vAlign w:val="center"/>
            <w:hideMark/>
          </w:tcPr>
          <w:p w:rsidR="008279FE" w:rsidRPr="008279FE" w:rsidRDefault="008279FE" w:rsidP="008279FE">
            <w:pPr>
              <w:jc w:val="center"/>
              <w:rPr>
                <w:b/>
                <w:bCs/>
                <w:color w:val="000000"/>
                <w:sz w:val="20"/>
                <w:szCs w:val="20"/>
                <w:lang w:val="es-GT" w:eastAsia="es-GT"/>
              </w:rPr>
            </w:pPr>
            <w:r w:rsidRPr="008279FE">
              <w:rPr>
                <w:b/>
                <w:bCs/>
                <w:color w:val="000000"/>
                <w:sz w:val="20"/>
                <w:szCs w:val="20"/>
                <w:lang w:val="es-GT" w:eastAsia="es-GT"/>
              </w:rPr>
              <w:t>Relativas</w:t>
            </w:r>
          </w:p>
        </w:tc>
      </w:tr>
      <w:tr w:rsidR="008279FE" w:rsidRPr="008279FE" w:rsidTr="0038332D">
        <w:trPr>
          <w:trHeight w:val="315"/>
        </w:trPr>
        <w:tc>
          <w:tcPr>
            <w:tcW w:w="3984" w:type="dxa"/>
            <w:tcBorders>
              <w:top w:val="nil"/>
              <w:left w:val="single" w:sz="12" w:space="0" w:color="auto"/>
              <w:bottom w:val="nil"/>
              <w:right w:val="single" w:sz="4" w:space="0" w:color="auto"/>
            </w:tcBorders>
            <w:shd w:val="clear" w:color="000000" w:fill="FFFFFF"/>
            <w:noWrap/>
            <w:vAlign w:val="center"/>
            <w:hideMark/>
          </w:tcPr>
          <w:p w:rsidR="008279FE" w:rsidRPr="008279FE" w:rsidRDefault="008279FE" w:rsidP="008279FE">
            <w:pPr>
              <w:jc w:val="center"/>
              <w:rPr>
                <w:b/>
                <w:bCs/>
                <w:color w:val="000000"/>
                <w:sz w:val="20"/>
                <w:szCs w:val="20"/>
                <w:lang w:val="es-GT" w:eastAsia="es-GT"/>
              </w:rPr>
            </w:pPr>
            <w:r w:rsidRPr="008279FE">
              <w:rPr>
                <w:b/>
                <w:bCs/>
                <w:color w:val="000000"/>
                <w:sz w:val="20"/>
                <w:szCs w:val="20"/>
                <w:lang w:val="es-GT" w:eastAsia="es-GT"/>
              </w:rPr>
              <w:t>Total</w:t>
            </w:r>
          </w:p>
        </w:tc>
        <w:tc>
          <w:tcPr>
            <w:tcW w:w="1276" w:type="dxa"/>
            <w:tcBorders>
              <w:top w:val="nil"/>
              <w:left w:val="nil"/>
              <w:bottom w:val="nil"/>
              <w:right w:val="single" w:sz="4" w:space="0" w:color="auto"/>
            </w:tcBorders>
            <w:shd w:val="clear" w:color="000000" w:fill="FFFFFF"/>
            <w:noWrap/>
            <w:vAlign w:val="center"/>
            <w:hideMark/>
          </w:tcPr>
          <w:p w:rsidR="008279FE" w:rsidRPr="008279FE" w:rsidRDefault="008279FE" w:rsidP="008279FE">
            <w:pPr>
              <w:jc w:val="right"/>
              <w:rPr>
                <w:b/>
                <w:bCs/>
                <w:color w:val="000000"/>
                <w:sz w:val="20"/>
                <w:szCs w:val="20"/>
                <w:lang w:val="es-GT" w:eastAsia="es-GT"/>
              </w:rPr>
            </w:pPr>
            <w:r w:rsidRPr="008279FE">
              <w:rPr>
                <w:b/>
                <w:bCs/>
                <w:color w:val="000000"/>
                <w:sz w:val="20"/>
                <w:szCs w:val="20"/>
                <w:lang w:val="es-GT" w:eastAsia="es-GT"/>
              </w:rPr>
              <w:t>31,074.4</w:t>
            </w:r>
          </w:p>
        </w:tc>
        <w:tc>
          <w:tcPr>
            <w:tcW w:w="1225" w:type="dxa"/>
            <w:tcBorders>
              <w:top w:val="nil"/>
              <w:left w:val="nil"/>
              <w:bottom w:val="nil"/>
              <w:right w:val="single" w:sz="4" w:space="0" w:color="auto"/>
            </w:tcBorders>
            <w:shd w:val="clear" w:color="000000" w:fill="FFFFFF"/>
            <w:noWrap/>
            <w:vAlign w:val="center"/>
            <w:hideMark/>
          </w:tcPr>
          <w:p w:rsidR="008279FE" w:rsidRPr="008279FE" w:rsidRDefault="008279FE" w:rsidP="008279FE">
            <w:pPr>
              <w:jc w:val="right"/>
              <w:rPr>
                <w:b/>
                <w:bCs/>
                <w:color w:val="000000"/>
                <w:sz w:val="20"/>
                <w:szCs w:val="20"/>
                <w:lang w:val="es-GT" w:eastAsia="es-GT"/>
              </w:rPr>
            </w:pPr>
            <w:r w:rsidRPr="008279FE">
              <w:rPr>
                <w:b/>
                <w:bCs/>
                <w:color w:val="000000"/>
                <w:sz w:val="20"/>
                <w:szCs w:val="20"/>
                <w:lang w:val="es-GT" w:eastAsia="es-GT"/>
              </w:rPr>
              <w:t>28,650.0</w:t>
            </w:r>
          </w:p>
        </w:tc>
        <w:tc>
          <w:tcPr>
            <w:tcW w:w="1376" w:type="dxa"/>
            <w:tcBorders>
              <w:top w:val="nil"/>
              <w:left w:val="nil"/>
              <w:bottom w:val="nil"/>
              <w:right w:val="single" w:sz="4" w:space="0" w:color="auto"/>
            </w:tcBorders>
            <w:shd w:val="clear" w:color="000000" w:fill="FFFFFF"/>
            <w:noWrap/>
            <w:vAlign w:val="center"/>
            <w:hideMark/>
          </w:tcPr>
          <w:p w:rsidR="008279FE" w:rsidRPr="008279FE" w:rsidRDefault="008279FE" w:rsidP="008279FE">
            <w:pPr>
              <w:jc w:val="right"/>
              <w:rPr>
                <w:b/>
                <w:bCs/>
                <w:color w:val="000000"/>
                <w:sz w:val="20"/>
                <w:szCs w:val="20"/>
                <w:lang w:val="es-GT" w:eastAsia="es-GT"/>
              </w:rPr>
            </w:pPr>
            <w:r w:rsidRPr="008279FE">
              <w:rPr>
                <w:b/>
                <w:bCs/>
                <w:color w:val="000000"/>
                <w:sz w:val="20"/>
                <w:szCs w:val="20"/>
                <w:lang w:val="es-GT" w:eastAsia="es-GT"/>
              </w:rPr>
              <w:t>-2,424.4</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b/>
                <w:bCs/>
                <w:color w:val="000000"/>
                <w:sz w:val="20"/>
                <w:szCs w:val="20"/>
                <w:lang w:val="es-GT" w:eastAsia="es-GT"/>
              </w:rPr>
            </w:pPr>
            <w:r w:rsidRPr="008279FE">
              <w:rPr>
                <w:b/>
                <w:bCs/>
                <w:color w:val="000000"/>
                <w:sz w:val="20"/>
                <w:szCs w:val="20"/>
                <w:lang w:val="es-GT" w:eastAsia="es-GT"/>
              </w:rPr>
              <w:t>-7.8%</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Obligaciones del Estado a Cargo del Tesoro</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10,226.7</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10,051.9</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-174.8</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-1.7%</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Servicios de la Deuda Pública</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5,154.5</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5,092.6</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-61.9</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-1.2%</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Educación</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5,745.9</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5,892.4</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146.5</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2.5%</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Salud Pública y Asistencia Social</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2,807.4</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2,465.3</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-342.1</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-12.2%</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Gobernación</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2,012.2</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1,728.8</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-283.4</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-14.1%</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Comunicaciones, Infraestructura y Vivienda</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1,669.6</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553.5</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-1,116.1</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-66.8%</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Defensa Nacional</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952.4</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889.4</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-63.0</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-6.6%</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Secretarías y Otras Dependencias del Ejecutivo</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542.3</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437.9</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-104.4</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-19.2%</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Agricultura, Ganadería y Alimentación</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496.6</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345.6</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-151.0</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-30.4%</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Desarrollo Social</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406.5</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184.7</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-221.8</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-54.6%</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Trabajo y Previsión Social</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298.5</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296.6</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-1.9</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-0.6%</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Relaciones Exteriores</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167.6</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168.9</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1.3</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0.8%</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Cultura y Deportes</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143.7</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121.1</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-22.6</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-15.7%</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Finanzas Públicas</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129.7</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129.9</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0.2</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0.1%</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Economía</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102.9</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92.5</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-10.4</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-10.1%</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Presidencia de la República</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100.4</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83.8</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-16.6</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-16.5%</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Ambiente y Recursos Naturales</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53.3</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56.6</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3.3</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6.2%</w:t>
            </w:r>
          </w:p>
        </w:tc>
      </w:tr>
      <w:tr w:rsidR="008279FE" w:rsidRPr="008279FE" w:rsidTr="0038332D">
        <w:trPr>
          <w:trHeight w:val="300"/>
        </w:trPr>
        <w:tc>
          <w:tcPr>
            <w:tcW w:w="3984" w:type="dxa"/>
            <w:tcBorders>
              <w:top w:val="nil"/>
              <w:left w:val="single" w:sz="12" w:space="0" w:color="auto"/>
              <w:bottom w:val="nil"/>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Energía y Minas</w:t>
            </w:r>
          </w:p>
        </w:tc>
        <w:tc>
          <w:tcPr>
            <w:tcW w:w="12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35.3</w:t>
            </w:r>
          </w:p>
        </w:tc>
        <w:tc>
          <w:tcPr>
            <w:tcW w:w="1225"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29.1</w:t>
            </w:r>
          </w:p>
        </w:tc>
        <w:tc>
          <w:tcPr>
            <w:tcW w:w="1376" w:type="dxa"/>
            <w:tcBorders>
              <w:top w:val="nil"/>
              <w:left w:val="nil"/>
              <w:bottom w:val="nil"/>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-6.2</w:t>
            </w:r>
          </w:p>
        </w:tc>
        <w:tc>
          <w:tcPr>
            <w:tcW w:w="1239" w:type="dxa"/>
            <w:tcBorders>
              <w:top w:val="nil"/>
              <w:left w:val="single" w:sz="4" w:space="0" w:color="auto"/>
              <w:bottom w:val="nil"/>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-17.6%</w:t>
            </w:r>
          </w:p>
        </w:tc>
      </w:tr>
      <w:tr w:rsidR="008279FE" w:rsidRPr="008279FE" w:rsidTr="0038332D">
        <w:trPr>
          <w:trHeight w:val="315"/>
        </w:trPr>
        <w:tc>
          <w:tcPr>
            <w:tcW w:w="3984" w:type="dxa"/>
            <w:tcBorders>
              <w:top w:val="nil"/>
              <w:left w:val="single" w:sz="12" w:space="0" w:color="auto"/>
              <w:bottom w:val="single" w:sz="12" w:space="0" w:color="auto"/>
              <w:right w:val="single" w:sz="4" w:space="0" w:color="auto"/>
            </w:tcBorders>
            <w:shd w:val="clear" w:color="000000" w:fill="FFFFFF"/>
            <w:noWrap/>
            <w:vAlign w:val="bottom"/>
            <w:hideMark/>
          </w:tcPr>
          <w:p w:rsidR="008279FE" w:rsidRPr="008279FE" w:rsidRDefault="008279FE" w:rsidP="008279FE">
            <w:pPr>
              <w:rPr>
                <w:color w:val="000000"/>
                <w:sz w:val="20"/>
                <w:szCs w:val="20"/>
                <w:lang w:val="es-GT" w:eastAsia="es-GT"/>
              </w:rPr>
            </w:pPr>
            <w:r w:rsidRPr="008279FE">
              <w:rPr>
                <w:color w:val="000000"/>
                <w:sz w:val="20"/>
                <w:szCs w:val="20"/>
                <w:lang w:val="es-GT" w:eastAsia="es-GT"/>
              </w:rPr>
              <w:t>Procuraduría General de la Nación</w:t>
            </w:r>
          </w:p>
        </w:tc>
        <w:tc>
          <w:tcPr>
            <w:tcW w:w="1276" w:type="dxa"/>
            <w:tcBorders>
              <w:top w:val="nil"/>
              <w:left w:val="nil"/>
              <w:bottom w:val="single" w:sz="12" w:space="0" w:color="auto"/>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28.9</w:t>
            </w:r>
          </w:p>
        </w:tc>
        <w:tc>
          <w:tcPr>
            <w:tcW w:w="1225" w:type="dxa"/>
            <w:tcBorders>
              <w:top w:val="nil"/>
              <w:left w:val="nil"/>
              <w:bottom w:val="single" w:sz="12" w:space="0" w:color="auto"/>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29.4</w:t>
            </w:r>
          </w:p>
        </w:tc>
        <w:tc>
          <w:tcPr>
            <w:tcW w:w="1376" w:type="dxa"/>
            <w:tcBorders>
              <w:top w:val="nil"/>
              <w:left w:val="nil"/>
              <w:bottom w:val="single" w:sz="12" w:space="0" w:color="auto"/>
              <w:right w:val="single" w:sz="4" w:space="0" w:color="auto"/>
            </w:tcBorders>
            <w:shd w:val="clear" w:color="000000" w:fill="FFFFFF"/>
            <w:noWrap/>
            <w:vAlign w:val="bottom"/>
            <w:hideMark/>
          </w:tcPr>
          <w:p w:rsidR="008279FE" w:rsidRPr="008279FE" w:rsidRDefault="008279FE" w:rsidP="008279FE">
            <w:pPr>
              <w:jc w:val="right"/>
              <w:rPr>
                <w:color w:val="000000"/>
                <w:sz w:val="20"/>
                <w:szCs w:val="20"/>
                <w:lang w:val="es-GT" w:eastAsia="es-GT"/>
              </w:rPr>
            </w:pPr>
            <w:r w:rsidRPr="008279FE">
              <w:rPr>
                <w:color w:val="000000"/>
                <w:sz w:val="20"/>
                <w:szCs w:val="20"/>
                <w:lang w:val="es-GT" w:eastAsia="es-GT"/>
              </w:rPr>
              <w:t>0.5</w:t>
            </w:r>
          </w:p>
        </w:tc>
        <w:tc>
          <w:tcPr>
            <w:tcW w:w="1239" w:type="dxa"/>
            <w:tcBorders>
              <w:top w:val="nil"/>
              <w:left w:val="nil"/>
              <w:bottom w:val="single" w:sz="12" w:space="0" w:color="auto"/>
              <w:right w:val="single" w:sz="12" w:space="0" w:color="auto"/>
            </w:tcBorders>
            <w:shd w:val="clear" w:color="000000" w:fill="FFFFFF"/>
            <w:noWrap/>
            <w:vAlign w:val="center"/>
            <w:hideMark/>
          </w:tcPr>
          <w:p w:rsidR="008279FE" w:rsidRPr="008279FE" w:rsidRDefault="008279FE" w:rsidP="0038332D">
            <w:pPr>
              <w:jc w:val="right"/>
              <w:rPr>
                <w:color w:val="000000"/>
                <w:sz w:val="20"/>
                <w:szCs w:val="20"/>
                <w:lang w:val="es-GT" w:eastAsia="es-GT"/>
              </w:rPr>
            </w:pPr>
            <w:r w:rsidRPr="008279FE">
              <w:rPr>
                <w:color w:val="000000"/>
                <w:sz w:val="20"/>
                <w:szCs w:val="20"/>
                <w:lang w:val="es-GT" w:eastAsia="es-GT"/>
              </w:rPr>
              <w:t>1.9%</w:t>
            </w:r>
          </w:p>
        </w:tc>
      </w:tr>
    </w:tbl>
    <w:p w:rsidR="00FB641E" w:rsidRPr="003115F3" w:rsidRDefault="00FB641E" w:rsidP="00FB641E">
      <w:pPr>
        <w:rPr>
          <w:sz w:val="16"/>
          <w:lang w:val="es-MX"/>
        </w:rPr>
      </w:pPr>
      <w:r w:rsidRPr="003115F3">
        <w:rPr>
          <w:sz w:val="16"/>
          <w:lang w:val="es-MX"/>
        </w:rPr>
        <w:t>Fuente: Ministerio de Finanzas Públicas con base al SICOIN.</w:t>
      </w:r>
    </w:p>
    <w:p w:rsidR="00FB641E" w:rsidRPr="003115F3" w:rsidRDefault="00FB641E" w:rsidP="00FB641E">
      <w:pPr>
        <w:rPr>
          <w:sz w:val="16"/>
          <w:lang w:val="es-MX"/>
        </w:rPr>
      </w:pPr>
      <w:r w:rsidRPr="003115F3">
        <w:rPr>
          <w:sz w:val="16"/>
          <w:lang w:val="es-MX"/>
        </w:rPr>
        <w:t>* Cifras preliminares</w:t>
      </w:r>
    </w:p>
    <w:p w:rsidR="00FB641E" w:rsidRPr="00FB641E" w:rsidRDefault="00FB641E" w:rsidP="00FB641E">
      <w:pPr>
        <w:jc w:val="both"/>
        <w:rPr>
          <w:lang w:val="es-MX"/>
        </w:rPr>
      </w:pPr>
    </w:p>
    <w:p w:rsidR="00FB641E" w:rsidRPr="00FB641E" w:rsidRDefault="00FB641E" w:rsidP="00FB641E">
      <w:pPr>
        <w:keepNext/>
        <w:keepLines/>
        <w:numPr>
          <w:ilvl w:val="2"/>
          <w:numId w:val="5"/>
        </w:numPr>
        <w:spacing w:before="200"/>
        <w:outlineLvl w:val="2"/>
        <w:rPr>
          <w:b/>
          <w:bCs/>
          <w:lang w:val="es-MX"/>
        </w:rPr>
      </w:pPr>
      <w:bookmarkStart w:id="12" w:name="_Toc460422672"/>
      <w:r w:rsidRPr="00FB641E">
        <w:rPr>
          <w:b/>
          <w:bCs/>
          <w:lang w:val="es-MX"/>
        </w:rPr>
        <w:t>Gasto financiado con fuente 11</w:t>
      </w:r>
      <w:r w:rsidR="00333AB5">
        <w:rPr>
          <w:b/>
          <w:bCs/>
          <w:lang w:val="es-MX"/>
        </w:rPr>
        <w:t>:</w:t>
      </w:r>
      <w:r w:rsidRPr="00FB641E">
        <w:rPr>
          <w:b/>
          <w:bCs/>
          <w:lang w:val="es-MX"/>
        </w:rPr>
        <w:t xml:space="preserve"> “Ingresos </w:t>
      </w:r>
      <w:r w:rsidR="00A435F6">
        <w:rPr>
          <w:b/>
          <w:bCs/>
          <w:lang w:val="es-MX"/>
        </w:rPr>
        <w:t>C</w:t>
      </w:r>
      <w:r w:rsidRPr="00FB641E">
        <w:rPr>
          <w:b/>
          <w:bCs/>
          <w:lang w:val="es-MX"/>
        </w:rPr>
        <w:t>orrientes”</w:t>
      </w:r>
      <w:bookmarkEnd w:id="12"/>
    </w:p>
    <w:p w:rsidR="00FB641E" w:rsidRPr="00FB641E" w:rsidRDefault="00FB641E" w:rsidP="00FB641E">
      <w:pPr>
        <w:jc w:val="both"/>
        <w:rPr>
          <w:sz w:val="32"/>
          <w:lang w:val="es-MX"/>
        </w:rPr>
      </w:pPr>
    </w:p>
    <w:p w:rsidR="00FB641E" w:rsidRPr="00FB641E" w:rsidRDefault="00FB641E" w:rsidP="00FB641E">
      <w:pPr>
        <w:jc w:val="both"/>
        <w:rPr>
          <w:lang w:val="es-MX"/>
        </w:rPr>
      </w:pPr>
      <w:r w:rsidRPr="00FB641E">
        <w:rPr>
          <w:lang w:val="es-MX"/>
        </w:rPr>
        <w:t>La fuente de financiamiento 11 “Ingresos corrientes</w:t>
      </w:r>
      <w:r w:rsidR="00333AB5">
        <w:rPr>
          <w:lang w:val="es-MX"/>
        </w:rPr>
        <w:t>,</w:t>
      </w:r>
      <w:r w:rsidRPr="00FB641E">
        <w:rPr>
          <w:lang w:val="es-MX"/>
        </w:rPr>
        <w:t>” al 30 de junio de 2016 presenta un presupuesto vigente de Q38,273.4 millones, de los cuales a esa fecha se ejecutaron Q17,211.4 millones, monto que representa el 45.0% de ejecución y de acuerdo a la gráfica siguiente, son los Servicios de la Deuda Pública, Procuraduría General de la Nación y los Ministerios de la Defensa Nacional, de Educación y de Salud Pública y Asistencia Social las entidades con ejecución por encima del 45.0% de su presupuesto vigente a la citada fecha.</w:t>
      </w:r>
    </w:p>
    <w:p w:rsidR="00FB641E" w:rsidRPr="00FB641E" w:rsidRDefault="00FB641E" w:rsidP="00FB641E">
      <w:pPr>
        <w:jc w:val="both"/>
        <w:rPr>
          <w:sz w:val="32"/>
          <w:lang w:val="es-MX"/>
        </w:rPr>
      </w:pPr>
    </w:p>
    <w:p w:rsidR="00FB641E" w:rsidRDefault="00FC3420" w:rsidP="00FB641E">
      <w:pPr>
        <w:jc w:val="both"/>
        <w:rPr>
          <w:lang w:val="es-MX"/>
        </w:rPr>
      </w:pPr>
      <w:r>
        <w:rPr>
          <w:lang w:val="es-MX"/>
        </w:rPr>
        <w:t>Al 30 de junio de 2015 dicha fuente de financiamiento presentaba un presupuesto vigente de Q38,750.8 millones, de los cuales la ejecución presupuestaria alcanzó los Q16,928.1 millones, equivalentes al 43.7%</w:t>
      </w:r>
      <w:r w:rsidR="00FB641E" w:rsidRPr="00FB641E">
        <w:rPr>
          <w:lang w:val="es-MX"/>
        </w:rPr>
        <w:t>.</w:t>
      </w:r>
    </w:p>
    <w:p w:rsidR="00FC3420" w:rsidRDefault="00FC3420" w:rsidP="00FB641E">
      <w:pPr>
        <w:jc w:val="both"/>
        <w:rPr>
          <w:lang w:val="es-MX"/>
        </w:rPr>
      </w:pPr>
    </w:p>
    <w:p w:rsidR="00153C4F" w:rsidRDefault="00153C4F" w:rsidP="00FB641E">
      <w:pPr>
        <w:jc w:val="both"/>
        <w:rPr>
          <w:lang w:val="es-MX"/>
        </w:rPr>
      </w:pPr>
    </w:p>
    <w:p w:rsidR="00FB641E" w:rsidRPr="00FB641E" w:rsidRDefault="00FB641E" w:rsidP="000E3F15">
      <w:pPr>
        <w:jc w:val="center"/>
        <w:rPr>
          <w:b/>
          <w:sz w:val="22"/>
          <w:lang w:val="es-MX"/>
        </w:rPr>
      </w:pPr>
      <w:r w:rsidRPr="00FB641E">
        <w:rPr>
          <w:b/>
          <w:sz w:val="22"/>
          <w:lang w:val="es-MX"/>
        </w:rPr>
        <w:lastRenderedPageBreak/>
        <w:t xml:space="preserve">Gráfica </w:t>
      </w:r>
      <w:r w:rsidR="00D04D9F">
        <w:rPr>
          <w:b/>
          <w:sz w:val="22"/>
          <w:lang w:val="es-MX"/>
        </w:rPr>
        <w:t>6</w:t>
      </w:r>
    </w:p>
    <w:p w:rsidR="00FB641E" w:rsidRPr="00FB641E" w:rsidRDefault="00FB641E" w:rsidP="000E3F15">
      <w:pPr>
        <w:jc w:val="center"/>
        <w:rPr>
          <w:b/>
          <w:sz w:val="22"/>
          <w:lang w:val="es-MX"/>
        </w:rPr>
      </w:pPr>
      <w:r w:rsidRPr="00FB641E">
        <w:rPr>
          <w:b/>
          <w:sz w:val="22"/>
          <w:lang w:val="es-MX"/>
        </w:rPr>
        <w:t>Ejecución Presupuestaria con Fuente 11 “Ingresos Corrientes”</w:t>
      </w:r>
    </w:p>
    <w:p w:rsidR="00FB641E" w:rsidRPr="00333AB5" w:rsidRDefault="00FB641E" w:rsidP="00FB641E">
      <w:pPr>
        <w:jc w:val="center"/>
        <w:rPr>
          <w:i/>
          <w:sz w:val="22"/>
          <w:lang w:val="es-MX"/>
        </w:rPr>
      </w:pPr>
      <w:r w:rsidRPr="00333AB5">
        <w:rPr>
          <w:i/>
          <w:sz w:val="22"/>
          <w:lang w:val="es-MX"/>
        </w:rPr>
        <w:t xml:space="preserve">Al 30 de junio de </w:t>
      </w:r>
      <w:r w:rsidR="00153C4F">
        <w:rPr>
          <w:i/>
          <w:sz w:val="22"/>
          <w:lang w:val="es-MX"/>
        </w:rPr>
        <w:t xml:space="preserve">2015 y </w:t>
      </w:r>
      <w:r w:rsidRPr="00333AB5">
        <w:rPr>
          <w:i/>
          <w:sz w:val="22"/>
          <w:lang w:val="es-MX"/>
        </w:rPr>
        <w:t>2016*</w:t>
      </w:r>
    </w:p>
    <w:p w:rsidR="00FB641E" w:rsidRDefault="00FB641E" w:rsidP="00FB641E">
      <w:pPr>
        <w:jc w:val="center"/>
        <w:rPr>
          <w:i/>
          <w:sz w:val="22"/>
          <w:lang w:val="es-MX"/>
        </w:rPr>
      </w:pPr>
      <w:r w:rsidRPr="00333AB5">
        <w:rPr>
          <w:i/>
          <w:sz w:val="22"/>
          <w:lang w:val="es-MX"/>
        </w:rPr>
        <w:t>(Porcentaje de Ejecución)</w:t>
      </w:r>
    </w:p>
    <w:p w:rsidR="00153C4F" w:rsidRDefault="00153C4F" w:rsidP="00FB641E">
      <w:pPr>
        <w:jc w:val="center"/>
        <w:rPr>
          <w:i/>
          <w:sz w:val="22"/>
          <w:lang w:val="es-MX"/>
        </w:rPr>
      </w:pPr>
      <w:r>
        <w:rPr>
          <w:noProof/>
          <w:lang w:val="es-GT" w:eastAsia="es-GT"/>
        </w:rPr>
        <w:drawing>
          <wp:inline distT="0" distB="0" distL="0" distR="0" wp14:anchorId="0BB660E7" wp14:editId="6EB02B52">
            <wp:extent cx="5612130" cy="3623945"/>
            <wp:effectExtent l="0" t="0" r="762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3C4F" w:rsidRPr="00333AB5" w:rsidRDefault="00153C4F" w:rsidP="00FB641E">
      <w:pPr>
        <w:jc w:val="center"/>
        <w:rPr>
          <w:i/>
          <w:sz w:val="22"/>
          <w:lang w:val="es-MX"/>
        </w:rPr>
      </w:pPr>
    </w:p>
    <w:p w:rsidR="00FB641E" w:rsidRPr="00FB641E" w:rsidRDefault="00FB641E" w:rsidP="00FB641E">
      <w:pPr>
        <w:jc w:val="center"/>
        <w:rPr>
          <w:b/>
          <w:sz w:val="22"/>
          <w:lang w:val="es-MX"/>
        </w:rPr>
      </w:pPr>
      <w:r w:rsidRPr="00FB641E">
        <w:rPr>
          <w:noProof/>
          <w:lang w:val="es-GT" w:eastAsia="es-GT"/>
        </w:rPr>
        <w:drawing>
          <wp:inline distT="0" distB="0" distL="0" distR="0" wp14:anchorId="777AEBD6" wp14:editId="41B6651B">
            <wp:extent cx="5732060" cy="3432412"/>
            <wp:effectExtent l="0" t="0" r="254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B641E" w:rsidRPr="00B21B47" w:rsidRDefault="00FB641E" w:rsidP="00FB641E">
      <w:pPr>
        <w:rPr>
          <w:sz w:val="16"/>
          <w:lang w:val="es-MX"/>
        </w:rPr>
      </w:pPr>
      <w:r w:rsidRPr="00B21B47">
        <w:rPr>
          <w:sz w:val="16"/>
          <w:lang w:val="es-MX"/>
        </w:rPr>
        <w:t>Fuente: Ministerio de Finanzas Públicas con base al SICOIN.</w:t>
      </w:r>
    </w:p>
    <w:p w:rsidR="00FB641E" w:rsidRDefault="00FB641E" w:rsidP="00FB641E">
      <w:pPr>
        <w:rPr>
          <w:sz w:val="16"/>
          <w:lang w:val="es-MX"/>
        </w:rPr>
      </w:pPr>
      <w:r w:rsidRPr="00B21B47">
        <w:rPr>
          <w:sz w:val="16"/>
          <w:lang w:val="es-MX"/>
        </w:rPr>
        <w:t>* Cifras preliminares</w:t>
      </w:r>
    </w:p>
    <w:p w:rsidR="004C2E12" w:rsidRDefault="004C2E12" w:rsidP="00FB641E">
      <w:pPr>
        <w:rPr>
          <w:sz w:val="16"/>
          <w:lang w:val="es-MX"/>
        </w:rPr>
      </w:pPr>
    </w:p>
    <w:p w:rsidR="00FB641E" w:rsidRPr="00FB641E" w:rsidRDefault="00FB641E" w:rsidP="00FB641E">
      <w:pPr>
        <w:keepNext/>
        <w:keepLines/>
        <w:numPr>
          <w:ilvl w:val="2"/>
          <w:numId w:val="5"/>
        </w:numPr>
        <w:spacing w:before="200"/>
        <w:outlineLvl w:val="2"/>
        <w:rPr>
          <w:b/>
          <w:bCs/>
          <w:lang w:val="es-MX"/>
        </w:rPr>
      </w:pPr>
      <w:bookmarkStart w:id="13" w:name="_Toc460422673"/>
      <w:r w:rsidRPr="00FB641E">
        <w:rPr>
          <w:b/>
          <w:bCs/>
          <w:lang w:val="es-MX"/>
        </w:rPr>
        <w:lastRenderedPageBreak/>
        <w:t>Gasto Social y Acuerdos de Paz</w:t>
      </w:r>
      <w:r w:rsidR="00343FF3">
        <w:rPr>
          <w:rStyle w:val="Refdenotaalpie"/>
          <w:b/>
          <w:bCs/>
          <w:lang w:val="es-MX"/>
        </w:rPr>
        <w:footnoteReference w:id="4"/>
      </w:r>
      <w:r w:rsidR="00333AB5">
        <w:rPr>
          <w:b/>
          <w:bCs/>
          <w:lang w:val="es-MX"/>
        </w:rPr>
        <w:t>,</w:t>
      </w:r>
      <w:r w:rsidRPr="00FB641E">
        <w:rPr>
          <w:b/>
          <w:bCs/>
          <w:lang w:val="es-MX"/>
        </w:rPr>
        <w:t xml:space="preserve"> acumulado al 30 de junio de cada año</w:t>
      </w:r>
      <w:bookmarkEnd w:id="13"/>
    </w:p>
    <w:p w:rsidR="004C2E12" w:rsidRPr="00FB641E" w:rsidRDefault="004C2E12" w:rsidP="00FB641E">
      <w:pPr>
        <w:jc w:val="both"/>
        <w:rPr>
          <w:lang w:val="es-MX"/>
        </w:rPr>
      </w:pPr>
    </w:p>
    <w:p w:rsidR="00FB641E" w:rsidRPr="00FB641E" w:rsidRDefault="00FB641E" w:rsidP="00FB641E">
      <w:pPr>
        <w:jc w:val="both"/>
      </w:pPr>
      <w:r w:rsidRPr="00FB641E">
        <w:t xml:space="preserve">Uno de los objetivos prioritarios de la actual administración es continuar apoyando el Gasto Social para dar cumplimiento a lo establecido </w:t>
      </w:r>
      <w:r w:rsidR="00333AB5">
        <w:t>por</w:t>
      </w:r>
      <w:r w:rsidRPr="00FB641E">
        <w:t xml:space="preserve"> los Acuerdos de Paz, en el Plan Nacional de Desarrollo K’atun, Nuestra Guatemala 2032 y en la Política General de Gobierno 2016-2020, por lo que el monto aprobado </w:t>
      </w:r>
      <w:r w:rsidR="00B979C5">
        <w:t xml:space="preserve">en el Presupuesto General de Ingresos y Egresos del Estado para el Ejercicio Fiscal 2016 </w:t>
      </w:r>
      <w:r w:rsidRPr="00FB641E">
        <w:t xml:space="preserve">a los diferentes sectores que lo integran aumentó Q1,435.2 millones (de Q37,353.8  en  2015  a  Q38,789.0  en  2016).  </w:t>
      </w:r>
      <w:r w:rsidR="00333AB5">
        <w:t>L</w:t>
      </w:r>
      <w:r w:rsidRPr="00FB641E">
        <w:t>a e</w:t>
      </w:r>
      <w:r w:rsidR="00333AB5">
        <w:t>jecución</w:t>
      </w:r>
      <w:r w:rsidR="00B979C5">
        <w:t xml:space="preserve"> no obstante,</w:t>
      </w:r>
      <w:r w:rsidR="00333AB5">
        <w:t xml:space="preserve"> al 30 de junio de 2016</w:t>
      </w:r>
      <w:r w:rsidRPr="00FB641E">
        <w:t xml:space="preserve"> </w:t>
      </w:r>
      <w:r w:rsidR="00333AB5">
        <w:t>muestra</w:t>
      </w:r>
      <w:r w:rsidRPr="00FB641E">
        <w:t xml:space="preserve"> una disminución de Q797.6 millones con relación al mismo período del 2015, </w:t>
      </w:r>
      <w:r w:rsidR="00333AB5">
        <w:t xml:space="preserve">lo </w:t>
      </w:r>
      <w:r w:rsidRPr="00FB641E">
        <w:t xml:space="preserve">que obedece principalmente a los problemas de </w:t>
      </w:r>
      <w:r w:rsidR="00343FF3">
        <w:t xml:space="preserve">la baja </w:t>
      </w:r>
      <w:r w:rsidRPr="00FB641E">
        <w:t xml:space="preserve">recaudación tributaria y a que el Ministerio de Desarrollo Social reportó </w:t>
      </w:r>
      <w:r w:rsidR="00333AB5">
        <w:t xml:space="preserve">únicamente </w:t>
      </w:r>
      <w:r w:rsidRPr="00FB641E">
        <w:t>un 18.0% de ejecución presupuestaria a esa fecha, presentando los montos más bajos en su Programa de Transferencias Monetarias Condicionadas.</w:t>
      </w:r>
    </w:p>
    <w:p w:rsidR="004C2E12" w:rsidRPr="00FB641E" w:rsidRDefault="004C2E12" w:rsidP="00FB641E">
      <w:pPr>
        <w:jc w:val="both"/>
      </w:pPr>
    </w:p>
    <w:p w:rsidR="00FB641E" w:rsidRPr="00FB641E" w:rsidRDefault="00FB641E" w:rsidP="00FB641E">
      <w:pPr>
        <w:jc w:val="center"/>
        <w:rPr>
          <w:b/>
          <w:sz w:val="22"/>
        </w:rPr>
      </w:pPr>
      <w:r w:rsidRPr="00FB641E">
        <w:rPr>
          <w:b/>
          <w:sz w:val="22"/>
        </w:rPr>
        <w:t xml:space="preserve">Cuadro </w:t>
      </w:r>
      <w:r w:rsidR="003115F3">
        <w:rPr>
          <w:b/>
          <w:sz w:val="22"/>
        </w:rPr>
        <w:t>5</w:t>
      </w:r>
    </w:p>
    <w:p w:rsidR="00FB641E" w:rsidRPr="00FB641E" w:rsidRDefault="00FB641E" w:rsidP="00FB641E">
      <w:pPr>
        <w:jc w:val="center"/>
        <w:rPr>
          <w:b/>
          <w:sz w:val="22"/>
        </w:rPr>
      </w:pPr>
      <w:r w:rsidRPr="00FB641E">
        <w:rPr>
          <w:b/>
          <w:sz w:val="22"/>
        </w:rPr>
        <w:t>Ejecución Presupuestaria del Gasto Social y Acuerdos de Paz</w:t>
      </w:r>
    </w:p>
    <w:p w:rsidR="00FB641E" w:rsidRPr="00333AB5" w:rsidRDefault="00FB641E" w:rsidP="00FB641E">
      <w:pPr>
        <w:jc w:val="center"/>
        <w:rPr>
          <w:i/>
          <w:sz w:val="22"/>
        </w:rPr>
      </w:pPr>
      <w:r w:rsidRPr="00333AB5">
        <w:rPr>
          <w:i/>
          <w:sz w:val="22"/>
        </w:rPr>
        <w:t>Al 30 de junio de cada año</w:t>
      </w:r>
    </w:p>
    <w:p w:rsidR="00FB641E" w:rsidRDefault="00FB641E" w:rsidP="00FB641E">
      <w:pPr>
        <w:jc w:val="center"/>
        <w:rPr>
          <w:i/>
          <w:sz w:val="22"/>
        </w:rPr>
      </w:pPr>
      <w:r w:rsidRPr="00333AB5">
        <w:rPr>
          <w:i/>
          <w:sz w:val="22"/>
        </w:rPr>
        <w:t>(Cifras en Millones de Quetzales)</w:t>
      </w:r>
    </w:p>
    <w:tbl>
      <w:tblPr>
        <w:tblW w:w="9087" w:type="dxa"/>
        <w:tblInd w:w="55" w:type="dxa"/>
        <w:tblCellMar>
          <w:left w:w="70" w:type="dxa"/>
          <w:right w:w="70" w:type="dxa"/>
        </w:tblCellMar>
        <w:tblLook w:val="04A0" w:firstRow="1" w:lastRow="0" w:firstColumn="1" w:lastColumn="0" w:noHBand="0" w:noVBand="1"/>
      </w:tblPr>
      <w:tblGrid>
        <w:gridCol w:w="3134"/>
        <w:gridCol w:w="1559"/>
        <w:gridCol w:w="1418"/>
        <w:gridCol w:w="1559"/>
        <w:gridCol w:w="1417"/>
      </w:tblGrid>
      <w:tr w:rsidR="000E3F15" w:rsidRPr="000E3F15" w:rsidTr="000E3F15">
        <w:trPr>
          <w:trHeight w:val="315"/>
        </w:trPr>
        <w:tc>
          <w:tcPr>
            <w:tcW w:w="3134" w:type="dxa"/>
            <w:vMerge w:val="restart"/>
            <w:tcBorders>
              <w:top w:val="single" w:sz="12" w:space="0" w:color="auto"/>
              <w:left w:val="single" w:sz="12" w:space="0" w:color="auto"/>
              <w:bottom w:val="single" w:sz="12" w:space="0" w:color="000000"/>
              <w:right w:val="single" w:sz="4" w:space="0" w:color="auto"/>
            </w:tcBorders>
            <w:shd w:val="clear" w:color="000000" w:fill="8DB4E2"/>
            <w:vAlign w:val="center"/>
            <w:hideMark/>
          </w:tcPr>
          <w:p w:rsidR="000E3F15" w:rsidRPr="000E3F15" w:rsidRDefault="000E3F15" w:rsidP="000E3F15">
            <w:pPr>
              <w:jc w:val="center"/>
              <w:rPr>
                <w:b/>
                <w:bCs/>
                <w:lang w:val="es-GT" w:eastAsia="es-GT"/>
              </w:rPr>
            </w:pPr>
            <w:r w:rsidRPr="000E3F15">
              <w:rPr>
                <w:b/>
                <w:bCs/>
                <w:lang w:val="es-GT" w:eastAsia="es-GT"/>
              </w:rPr>
              <w:t>Sector</w:t>
            </w:r>
          </w:p>
        </w:tc>
        <w:tc>
          <w:tcPr>
            <w:tcW w:w="1559" w:type="dxa"/>
            <w:vMerge w:val="restart"/>
            <w:tcBorders>
              <w:top w:val="single" w:sz="12" w:space="0" w:color="auto"/>
              <w:left w:val="single" w:sz="4" w:space="0" w:color="auto"/>
              <w:bottom w:val="single" w:sz="12" w:space="0" w:color="000000"/>
              <w:right w:val="single" w:sz="4" w:space="0" w:color="auto"/>
            </w:tcBorders>
            <w:shd w:val="clear" w:color="000000" w:fill="8DB4E2"/>
            <w:vAlign w:val="center"/>
            <w:hideMark/>
          </w:tcPr>
          <w:p w:rsidR="000E3F15" w:rsidRPr="000E3F15" w:rsidRDefault="000E3F15" w:rsidP="000E3F15">
            <w:pPr>
              <w:jc w:val="center"/>
              <w:rPr>
                <w:b/>
                <w:bCs/>
                <w:lang w:val="es-GT" w:eastAsia="es-GT"/>
              </w:rPr>
            </w:pPr>
            <w:r w:rsidRPr="000E3F15">
              <w:rPr>
                <w:b/>
                <w:bCs/>
                <w:lang w:val="es-GT" w:eastAsia="es-GT"/>
              </w:rPr>
              <w:t>2015</w:t>
            </w:r>
          </w:p>
        </w:tc>
        <w:tc>
          <w:tcPr>
            <w:tcW w:w="1418" w:type="dxa"/>
            <w:vMerge w:val="restart"/>
            <w:tcBorders>
              <w:top w:val="single" w:sz="12" w:space="0" w:color="auto"/>
              <w:left w:val="single" w:sz="4" w:space="0" w:color="auto"/>
              <w:bottom w:val="single" w:sz="12" w:space="0" w:color="000000"/>
              <w:right w:val="single" w:sz="4" w:space="0" w:color="auto"/>
            </w:tcBorders>
            <w:shd w:val="clear" w:color="000000" w:fill="8DB4E2"/>
            <w:vAlign w:val="center"/>
            <w:hideMark/>
          </w:tcPr>
          <w:p w:rsidR="000E3F15" w:rsidRPr="000E3F15" w:rsidRDefault="000E3F15" w:rsidP="000E3F15">
            <w:pPr>
              <w:jc w:val="center"/>
              <w:rPr>
                <w:b/>
                <w:bCs/>
                <w:lang w:val="es-GT" w:eastAsia="es-GT"/>
              </w:rPr>
            </w:pPr>
            <w:r w:rsidRPr="000E3F15">
              <w:rPr>
                <w:b/>
                <w:bCs/>
                <w:lang w:val="es-GT" w:eastAsia="es-GT"/>
              </w:rPr>
              <w:t>2016</w:t>
            </w:r>
          </w:p>
        </w:tc>
        <w:tc>
          <w:tcPr>
            <w:tcW w:w="2976" w:type="dxa"/>
            <w:gridSpan w:val="2"/>
            <w:tcBorders>
              <w:top w:val="single" w:sz="12" w:space="0" w:color="auto"/>
              <w:left w:val="nil"/>
              <w:bottom w:val="single" w:sz="4" w:space="0" w:color="auto"/>
              <w:right w:val="single" w:sz="12" w:space="0" w:color="000000"/>
            </w:tcBorders>
            <w:shd w:val="clear" w:color="000000" w:fill="8DB4E2"/>
            <w:noWrap/>
            <w:vAlign w:val="bottom"/>
            <w:hideMark/>
          </w:tcPr>
          <w:p w:rsidR="000E3F15" w:rsidRPr="000E3F15" w:rsidRDefault="000E3F15" w:rsidP="000E3F15">
            <w:pPr>
              <w:jc w:val="center"/>
              <w:rPr>
                <w:b/>
                <w:bCs/>
                <w:color w:val="000000"/>
                <w:sz w:val="22"/>
                <w:szCs w:val="22"/>
                <w:lang w:val="es-GT" w:eastAsia="es-GT"/>
              </w:rPr>
            </w:pPr>
            <w:r w:rsidRPr="000E3F15">
              <w:rPr>
                <w:b/>
                <w:bCs/>
                <w:color w:val="000000"/>
                <w:sz w:val="22"/>
                <w:szCs w:val="22"/>
                <w:lang w:val="es-GT" w:eastAsia="es-GT"/>
              </w:rPr>
              <w:t>Diferencias 2016 - 2015</w:t>
            </w:r>
          </w:p>
        </w:tc>
      </w:tr>
      <w:tr w:rsidR="000E3F15" w:rsidRPr="000E3F15" w:rsidTr="004C2E12">
        <w:trPr>
          <w:trHeight w:val="315"/>
        </w:trPr>
        <w:tc>
          <w:tcPr>
            <w:tcW w:w="3134" w:type="dxa"/>
            <w:vMerge/>
            <w:tcBorders>
              <w:top w:val="single" w:sz="12" w:space="0" w:color="auto"/>
              <w:left w:val="single" w:sz="12" w:space="0" w:color="auto"/>
              <w:bottom w:val="single" w:sz="12" w:space="0" w:color="000000"/>
              <w:right w:val="single" w:sz="4" w:space="0" w:color="auto"/>
            </w:tcBorders>
            <w:vAlign w:val="center"/>
            <w:hideMark/>
          </w:tcPr>
          <w:p w:rsidR="000E3F15" w:rsidRPr="000E3F15" w:rsidRDefault="000E3F15" w:rsidP="000E3F15">
            <w:pPr>
              <w:rPr>
                <w:b/>
                <w:bCs/>
                <w:lang w:val="es-GT" w:eastAsia="es-GT"/>
              </w:rPr>
            </w:pPr>
          </w:p>
        </w:tc>
        <w:tc>
          <w:tcPr>
            <w:tcW w:w="1559" w:type="dxa"/>
            <w:vMerge/>
            <w:tcBorders>
              <w:top w:val="single" w:sz="12" w:space="0" w:color="auto"/>
              <w:left w:val="single" w:sz="4" w:space="0" w:color="auto"/>
              <w:bottom w:val="single" w:sz="12" w:space="0" w:color="000000"/>
              <w:right w:val="single" w:sz="4" w:space="0" w:color="auto"/>
            </w:tcBorders>
            <w:vAlign w:val="center"/>
            <w:hideMark/>
          </w:tcPr>
          <w:p w:rsidR="000E3F15" w:rsidRPr="000E3F15" w:rsidRDefault="000E3F15" w:rsidP="000E3F15">
            <w:pPr>
              <w:rPr>
                <w:b/>
                <w:bCs/>
                <w:lang w:val="es-GT" w:eastAsia="es-GT"/>
              </w:rPr>
            </w:pPr>
          </w:p>
        </w:tc>
        <w:tc>
          <w:tcPr>
            <w:tcW w:w="1418" w:type="dxa"/>
            <w:vMerge/>
            <w:tcBorders>
              <w:top w:val="single" w:sz="12" w:space="0" w:color="auto"/>
              <w:left w:val="single" w:sz="4" w:space="0" w:color="auto"/>
              <w:bottom w:val="single" w:sz="12" w:space="0" w:color="000000"/>
              <w:right w:val="single" w:sz="4" w:space="0" w:color="auto"/>
            </w:tcBorders>
            <w:vAlign w:val="center"/>
            <w:hideMark/>
          </w:tcPr>
          <w:p w:rsidR="000E3F15" w:rsidRPr="000E3F15" w:rsidRDefault="000E3F15" w:rsidP="000E3F15">
            <w:pPr>
              <w:rPr>
                <w:b/>
                <w:bCs/>
                <w:lang w:val="es-GT" w:eastAsia="es-GT"/>
              </w:rPr>
            </w:pPr>
          </w:p>
        </w:tc>
        <w:tc>
          <w:tcPr>
            <w:tcW w:w="1559" w:type="dxa"/>
            <w:tcBorders>
              <w:top w:val="nil"/>
              <w:left w:val="nil"/>
              <w:bottom w:val="single" w:sz="12" w:space="0" w:color="auto"/>
              <w:right w:val="single" w:sz="4" w:space="0" w:color="auto"/>
            </w:tcBorders>
            <w:shd w:val="clear" w:color="000000" w:fill="8DB4E2"/>
            <w:noWrap/>
            <w:vAlign w:val="bottom"/>
            <w:hideMark/>
          </w:tcPr>
          <w:p w:rsidR="000E3F15" w:rsidRPr="000E3F15" w:rsidRDefault="000E3F15" w:rsidP="000E3F15">
            <w:pPr>
              <w:jc w:val="center"/>
              <w:rPr>
                <w:b/>
                <w:bCs/>
                <w:color w:val="000000"/>
                <w:sz w:val="22"/>
                <w:szCs w:val="22"/>
                <w:lang w:val="es-GT" w:eastAsia="es-GT"/>
              </w:rPr>
            </w:pPr>
            <w:r w:rsidRPr="000E3F15">
              <w:rPr>
                <w:b/>
                <w:bCs/>
                <w:color w:val="000000"/>
                <w:sz w:val="22"/>
                <w:szCs w:val="22"/>
                <w:lang w:val="es-GT" w:eastAsia="es-GT"/>
              </w:rPr>
              <w:t>Absolutas</w:t>
            </w:r>
          </w:p>
        </w:tc>
        <w:tc>
          <w:tcPr>
            <w:tcW w:w="1417" w:type="dxa"/>
            <w:tcBorders>
              <w:top w:val="nil"/>
              <w:left w:val="single" w:sz="4" w:space="0" w:color="auto"/>
              <w:bottom w:val="single" w:sz="12" w:space="0" w:color="auto"/>
              <w:right w:val="single" w:sz="12" w:space="0" w:color="auto"/>
            </w:tcBorders>
            <w:shd w:val="clear" w:color="000000" w:fill="8DB4E2"/>
            <w:noWrap/>
            <w:vAlign w:val="bottom"/>
            <w:hideMark/>
          </w:tcPr>
          <w:p w:rsidR="000E3F15" w:rsidRPr="000E3F15" w:rsidRDefault="000E3F15" w:rsidP="000E3F15">
            <w:pPr>
              <w:jc w:val="center"/>
              <w:rPr>
                <w:b/>
                <w:bCs/>
                <w:color w:val="000000"/>
                <w:sz w:val="22"/>
                <w:szCs w:val="22"/>
                <w:lang w:val="es-GT" w:eastAsia="es-GT"/>
              </w:rPr>
            </w:pPr>
            <w:r w:rsidRPr="000E3F15">
              <w:rPr>
                <w:b/>
                <w:bCs/>
                <w:color w:val="000000"/>
                <w:sz w:val="22"/>
                <w:szCs w:val="22"/>
                <w:lang w:val="es-GT" w:eastAsia="es-GT"/>
              </w:rPr>
              <w:t>Relativas</w:t>
            </w:r>
          </w:p>
        </w:tc>
      </w:tr>
      <w:tr w:rsidR="000E3F15" w:rsidRPr="000E3F15" w:rsidTr="004C2E12">
        <w:trPr>
          <w:trHeight w:val="330"/>
        </w:trPr>
        <w:tc>
          <w:tcPr>
            <w:tcW w:w="3134" w:type="dxa"/>
            <w:tcBorders>
              <w:top w:val="nil"/>
              <w:left w:val="single" w:sz="12" w:space="0" w:color="auto"/>
              <w:bottom w:val="nil"/>
              <w:right w:val="single" w:sz="4" w:space="0" w:color="auto"/>
            </w:tcBorders>
            <w:shd w:val="clear" w:color="000000" w:fill="FFFFFF"/>
            <w:noWrap/>
            <w:vAlign w:val="center"/>
            <w:hideMark/>
          </w:tcPr>
          <w:p w:rsidR="000E3F15" w:rsidRPr="000E3F15" w:rsidRDefault="000E3F15" w:rsidP="000E3F15">
            <w:pPr>
              <w:jc w:val="center"/>
              <w:rPr>
                <w:b/>
                <w:bCs/>
                <w:lang w:val="es-GT" w:eastAsia="es-GT"/>
              </w:rPr>
            </w:pPr>
            <w:r w:rsidRPr="000E3F15">
              <w:rPr>
                <w:b/>
                <w:bCs/>
                <w:lang w:val="es-GT" w:eastAsia="es-GT"/>
              </w:rPr>
              <w:t>Total</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b/>
                <w:bCs/>
                <w:lang w:val="es-GT" w:eastAsia="es-GT"/>
              </w:rPr>
            </w:pPr>
            <w:r w:rsidRPr="000E3F15">
              <w:rPr>
                <w:b/>
                <w:bCs/>
                <w:lang w:val="es-GT" w:eastAsia="es-GT"/>
              </w:rPr>
              <w:t>16,871.3</w:t>
            </w:r>
          </w:p>
        </w:tc>
        <w:tc>
          <w:tcPr>
            <w:tcW w:w="1418"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b/>
                <w:bCs/>
                <w:lang w:val="es-GT" w:eastAsia="es-GT"/>
              </w:rPr>
            </w:pPr>
            <w:r w:rsidRPr="000E3F15">
              <w:rPr>
                <w:b/>
                <w:bCs/>
                <w:lang w:val="es-GT" w:eastAsia="es-GT"/>
              </w:rPr>
              <w:t>16,073.7</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b/>
                <w:bCs/>
                <w:lang w:val="es-GT" w:eastAsia="es-GT"/>
              </w:rPr>
            </w:pPr>
            <w:r w:rsidRPr="000E3F15">
              <w:rPr>
                <w:b/>
                <w:bCs/>
                <w:lang w:val="es-GT" w:eastAsia="es-GT"/>
              </w:rPr>
              <w:t>-797.6</w:t>
            </w:r>
          </w:p>
        </w:tc>
        <w:tc>
          <w:tcPr>
            <w:tcW w:w="1417" w:type="dxa"/>
            <w:tcBorders>
              <w:top w:val="nil"/>
              <w:left w:val="nil"/>
              <w:bottom w:val="nil"/>
              <w:right w:val="single" w:sz="12" w:space="0" w:color="auto"/>
            </w:tcBorders>
            <w:shd w:val="clear" w:color="000000" w:fill="FFFFFF"/>
            <w:noWrap/>
            <w:vAlign w:val="center"/>
            <w:hideMark/>
          </w:tcPr>
          <w:p w:rsidR="000E3F15" w:rsidRPr="000E3F15" w:rsidRDefault="000E3F15" w:rsidP="000E3F15">
            <w:pPr>
              <w:jc w:val="right"/>
              <w:rPr>
                <w:b/>
                <w:bCs/>
                <w:lang w:val="es-GT" w:eastAsia="es-GT"/>
              </w:rPr>
            </w:pPr>
            <w:r w:rsidRPr="000E3F15">
              <w:rPr>
                <w:b/>
                <w:bCs/>
                <w:lang w:val="es-GT" w:eastAsia="es-GT"/>
              </w:rPr>
              <w:t>-4.7%</w:t>
            </w:r>
          </w:p>
        </w:tc>
      </w:tr>
      <w:tr w:rsidR="000E3F15" w:rsidRPr="000E3F15" w:rsidTr="004C2E12">
        <w:trPr>
          <w:trHeight w:val="315"/>
        </w:trPr>
        <w:tc>
          <w:tcPr>
            <w:tcW w:w="3134" w:type="dxa"/>
            <w:tcBorders>
              <w:top w:val="nil"/>
              <w:left w:val="single" w:sz="12" w:space="0" w:color="auto"/>
              <w:bottom w:val="nil"/>
              <w:right w:val="single" w:sz="4" w:space="0" w:color="auto"/>
            </w:tcBorders>
            <w:shd w:val="clear" w:color="000000" w:fill="FFFFFF"/>
            <w:noWrap/>
            <w:vAlign w:val="bottom"/>
            <w:hideMark/>
          </w:tcPr>
          <w:p w:rsidR="000E3F15" w:rsidRPr="000E3F15" w:rsidRDefault="000E3F15" w:rsidP="000E3F15">
            <w:pPr>
              <w:rPr>
                <w:lang w:val="es-GT" w:eastAsia="es-GT"/>
              </w:rPr>
            </w:pPr>
            <w:r w:rsidRPr="000E3F15">
              <w:rPr>
                <w:lang w:val="es-GT" w:eastAsia="es-GT"/>
              </w:rPr>
              <w:t>Salud y Asistencia Social</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5,853.4</w:t>
            </w:r>
          </w:p>
        </w:tc>
        <w:tc>
          <w:tcPr>
            <w:tcW w:w="1418"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5,312.2</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-541.3</w:t>
            </w:r>
          </w:p>
        </w:tc>
        <w:tc>
          <w:tcPr>
            <w:tcW w:w="1417" w:type="dxa"/>
            <w:tcBorders>
              <w:top w:val="nil"/>
              <w:left w:val="nil"/>
              <w:bottom w:val="nil"/>
              <w:right w:val="single" w:sz="12"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-9.2%</w:t>
            </w:r>
          </w:p>
        </w:tc>
      </w:tr>
      <w:tr w:rsidR="000E3F15" w:rsidRPr="000E3F15" w:rsidTr="004C2E12">
        <w:trPr>
          <w:trHeight w:val="315"/>
        </w:trPr>
        <w:tc>
          <w:tcPr>
            <w:tcW w:w="3134" w:type="dxa"/>
            <w:tcBorders>
              <w:top w:val="nil"/>
              <w:left w:val="single" w:sz="12" w:space="0" w:color="auto"/>
              <w:bottom w:val="nil"/>
              <w:right w:val="single" w:sz="4" w:space="0" w:color="auto"/>
            </w:tcBorders>
            <w:shd w:val="clear" w:color="000000" w:fill="FFFFFF"/>
            <w:noWrap/>
            <w:vAlign w:val="bottom"/>
            <w:hideMark/>
          </w:tcPr>
          <w:p w:rsidR="000E3F15" w:rsidRPr="000E3F15" w:rsidRDefault="000E3F15" w:rsidP="000E3F15">
            <w:pPr>
              <w:rPr>
                <w:lang w:val="es-GT" w:eastAsia="es-GT"/>
              </w:rPr>
            </w:pPr>
            <w:r w:rsidRPr="000E3F15">
              <w:rPr>
                <w:lang w:val="es-GT" w:eastAsia="es-GT"/>
              </w:rPr>
              <w:t>Educación, Ciencia y Cultura</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7,445.6</w:t>
            </w:r>
          </w:p>
        </w:tc>
        <w:tc>
          <w:tcPr>
            <w:tcW w:w="1418"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7,358.9</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-86.7</w:t>
            </w:r>
          </w:p>
        </w:tc>
        <w:tc>
          <w:tcPr>
            <w:tcW w:w="1417" w:type="dxa"/>
            <w:tcBorders>
              <w:top w:val="nil"/>
              <w:left w:val="nil"/>
              <w:bottom w:val="nil"/>
              <w:right w:val="single" w:sz="12"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-1.2%</w:t>
            </w:r>
          </w:p>
        </w:tc>
      </w:tr>
      <w:tr w:rsidR="000E3F15" w:rsidRPr="000E3F15" w:rsidTr="004C2E12">
        <w:trPr>
          <w:trHeight w:val="315"/>
        </w:trPr>
        <w:tc>
          <w:tcPr>
            <w:tcW w:w="3134" w:type="dxa"/>
            <w:tcBorders>
              <w:top w:val="nil"/>
              <w:left w:val="single" w:sz="12" w:space="0" w:color="auto"/>
              <w:bottom w:val="nil"/>
              <w:right w:val="single" w:sz="4" w:space="0" w:color="auto"/>
            </w:tcBorders>
            <w:shd w:val="clear" w:color="000000" w:fill="FFFFFF"/>
            <w:noWrap/>
            <w:vAlign w:val="bottom"/>
            <w:hideMark/>
          </w:tcPr>
          <w:p w:rsidR="000E3F15" w:rsidRPr="000E3F15" w:rsidRDefault="000E3F15" w:rsidP="000E3F15">
            <w:pPr>
              <w:rPr>
                <w:lang w:val="es-GT" w:eastAsia="es-GT"/>
              </w:rPr>
            </w:pPr>
            <w:r w:rsidRPr="000E3F15">
              <w:rPr>
                <w:lang w:val="es-GT" w:eastAsia="es-GT"/>
              </w:rPr>
              <w:t>Vivienda</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177.4</w:t>
            </w:r>
          </w:p>
        </w:tc>
        <w:tc>
          <w:tcPr>
            <w:tcW w:w="1418"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21.8</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-155.6</w:t>
            </w:r>
          </w:p>
        </w:tc>
        <w:tc>
          <w:tcPr>
            <w:tcW w:w="1417" w:type="dxa"/>
            <w:tcBorders>
              <w:top w:val="nil"/>
              <w:left w:val="nil"/>
              <w:bottom w:val="nil"/>
              <w:right w:val="single" w:sz="12"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-87.7%</w:t>
            </w:r>
          </w:p>
        </w:tc>
      </w:tr>
      <w:tr w:rsidR="000E3F15" w:rsidRPr="000E3F15" w:rsidTr="004C2E12">
        <w:trPr>
          <w:trHeight w:val="315"/>
        </w:trPr>
        <w:tc>
          <w:tcPr>
            <w:tcW w:w="3134" w:type="dxa"/>
            <w:tcBorders>
              <w:top w:val="nil"/>
              <w:left w:val="single" w:sz="12" w:space="0" w:color="auto"/>
              <w:bottom w:val="nil"/>
              <w:right w:val="single" w:sz="4" w:space="0" w:color="auto"/>
            </w:tcBorders>
            <w:shd w:val="clear" w:color="000000" w:fill="FFFFFF"/>
            <w:noWrap/>
            <w:vAlign w:val="bottom"/>
            <w:hideMark/>
          </w:tcPr>
          <w:p w:rsidR="000E3F15" w:rsidRPr="000E3F15" w:rsidRDefault="000E3F15" w:rsidP="000E3F15">
            <w:pPr>
              <w:jc w:val="center"/>
              <w:rPr>
                <w:b/>
                <w:bCs/>
                <w:lang w:val="es-GT" w:eastAsia="es-GT"/>
              </w:rPr>
            </w:pPr>
            <w:r w:rsidRPr="000E3F15">
              <w:rPr>
                <w:b/>
                <w:bCs/>
                <w:lang w:val="es-GT" w:eastAsia="es-GT"/>
              </w:rPr>
              <w:t>Sub Total</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b/>
                <w:bCs/>
                <w:lang w:val="es-GT" w:eastAsia="es-GT"/>
              </w:rPr>
            </w:pPr>
            <w:r w:rsidRPr="000E3F15">
              <w:rPr>
                <w:b/>
                <w:bCs/>
                <w:lang w:val="es-GT" w:eastAsia="es-GT"/>
              </w:rPr>
              <w:t>3,395.0</w:t>
            </w:r>
          </w:p>
        </w:tc>
        <w:tc>
          <w:tcPr>
            <w:tcW w:w="1418"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b/>
                <w:bCs/>
                <w:lang w:val="es-GT" w:eastAsia="es-GT"/>
              </w:rPr>
            </w:pPr>
            <w:r w:rsidRPr="000E3F15">
              <w:rPr>
                <w:b/>
                <w:bCs/>
                <w:lang w:val="es-GT" w:eastAsia="es-GT"/>
              </w:rPr>
              <w:t>3,380.9</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b/>
                <w:bCs/>
                <w:lang w:val="es-GT" w:eastAsia="es-GT"/>
              </w:rPr>
            </w:pPr>
            <w:r w:rsidRPr="000E3F15">
              <w:rPr>
                <w:b/>
                <w:bCs/>
                <w:lang w:val="es-GT" w:eastAsia="es-GT"/>
              </w:rPr>
              <w:t>-14.1</w:t>
            </w:r>
          </w:p>
        </w:tc>
        <w:tc>
          <w:tcPr>
            <w:tcW w:w="1417" w:type="dxa"/>
            <w:tcBorders>
              <w:top w:val="nil"/>
              <w:left w:val="nil"/>
              <w:bottom w:val="nil"/>
              <w:right w:val="single" w:sz="12" w:space="0" w:color="auto"/>
            </w:tcBorders>
            <w:shd w:val="clear" w:color="000000" w:fill="FFFFFF"/>
            <w:noWrap/>
            <w:vAlign w:val="center"/>
            <w:hideMark/>
          </w:tcPr>
          <w:p w:rsidR="000E3F15" w:rsidRPr="000E3F15" w:rsidRDefault="000E3F15" w:rsidP="000E3F15">
            <w:pPr>
              <w:jc w:val="right"/>
              <w:rPr>
                <w:b/>
                <w:bCs/>
                <w:lang w:val="es-GT" w:eastAsia="es-GT"/>
              </w:rPr>
            </w:pPr>
            <w:r w:rsidRPr="000E3F15">
              <w:rPr>
                <w:b/>
                <w:bCs/>
                <w:lang w:val="es-GT" w:eastAsia="es-GT"/>
              </w:rPr>
              <w:t>-0.4%</w:t>
            </w:r>
          </w:p>
        </w:tc>
      </w:tr>
      <w:tr w:rsidR="000E3F15" w:rsidRPr="000E3F15" w:rsidTr="004C2E12">
        <w:trPr>
          <w:trHeight w:val="315"/>
        </w:trPr>
        <w:tc>
          <w:tcPr>
            <w:tcW w:w="3134" w:type="dxa"/>
            <w:tcBorders>
              <w:top w:val="nil"/>
              <w:left w:val="single" w:sz="12" w:space="0" w:color="auto"/>
              <w:bottom w:val="nil"/>
              <w:right w:val="single" w:sz="4" w:space="0" w:color="auto"/>
            </w:tcBorders>
            <w:shd w:val="clear" w:color="000000" w:fill="FFFFFF"/>
            <w:noWrap/>
            <w:vAlign w:val="bottom"/>
            <w:hideMark/>
          </w:tcPr>
          <w:p w:rsidR="000E3F15" w:rsidRPr="000E3F15" w:rsidRDefault="000E3F15" w:rsidP="000E3F15">
            <w:pPr>
              <w:rPr>
                <w:lang w:val="es-GT" w:eastAsia="es-GT"/>
              </w:rPr>
            </w:pPr>
            <w:r w:rsidRPr="000E3F15">
              <w:rPr>
                <w:lang w:val="es-GT" w:eastAsia="es-GT"/>
              </w:rPr>
              <w:t>Seguridad Interna</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2,097.7</w:t>
            </w:r>
          </w:p>
        </w:tc>
        <w:tc>
          <w:tcPr>
            <w:tcW w:w="1418"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1,757.7</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-340.0</w:t>
            </w:r>
          </w:p>
        </w:tc>
        <w:tc>
          <w:tcPr>
            <w:tcW w:w="1417" w:type="dxa"/>
            <w:tcBorders>
              <w:top w:val="nil"/>
              <w:left w:val="nil"/>
              <w:bottom w:val="nil"/>
              <w:right w:val="single" w:sz="12"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-16.2%</w:t>
            </w:r>
          </w:p>
        </w:tc>
      </w:tr>
      <w:tr w:rsidR="000E3F15" w:rsidRPr="000E3F15" w:rsidTr="004C2E12">
        <w:trPr>
          <w:trHeight w:val="315"/>
        </w:trPr>
        <w:tc>
          <w:tcPr>
            <w:tcW w:w="3134" w:type="dxa"/>
            <w:tcBorders>
              <w:top w:val="nil"/>
              <w:left w:val="single" w:sz="12" w:space="0" w:color="auto"/>
              <w:bottom w:val="nil"/>
              <w:right w:val="single" w:sz="4" w:space="0" w:color="auto"/>
            </w:tcBorders>
            <w:shd w:val="clear" w:color="000000" w:fill="FFFFFF"/>
            <w:noWrap/>
            <w:vAlign w:val="bottom"/>
            <w:hideMark/>
          </w:tcPr>
          <w:p w:rsidR="000E3F15" w:rsidRPr="000E3F15" w:rsidRDefault="000E3F15" w:rsidP="000E3F15">
            <w:pPr>
              <w:rPr>
                <w:lang w:val="es-GT" w:eastAsia="es-GT"/>
              </w:rPr>
            </w:pPr>
            <w:r w:rsidRPr="000E3F15">
              <w:rPr>
                <w:lang w:val="es-GT" w:eastAsia="es-GT"/>
              </w:rPr>
              <w:t>Organismo Judicial y C.C</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846.6</w:t>
            </w:r>
          </w:p>
        </w:tc>
        <w:tc>
          <w:tcPr>
            <w:tcW w:w="1418"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988.7</w:t>
            </w:r>
          </w:p>
        </w:tc>
        <w:tc>
          <w:tcPr>
            <w:tcW w:w="1559"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142.2</w:t>
            </w:r>
          </w:p>
        </w:tc>
        <w:tc>
          <w:tcPr>
            <w:tcW w:w="1417" w:type="dxa"/>
            <w:tcBorders>
              <w:top w:val="nil"/>
              <w:left w:val="nil"/>
              <w:bottom w:val="nil"/>
              <w:right w:val="single" w:sz="12"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16.8%</w:t>
            </w:r>
          </w:p>
        </w:tc>
      </w:tr>
      <w:tr w:rsidR="000E3F15" w:rsidRPr="000E3F15" w:rsidTr="004C2E12">
        <w:trPr>
          <w:trHeight w:val="330"/>
        </w:trPr>
        <w:tc>
          <w:tcPr>
            <w:tcW w:w="3134" w:type="dxa"/>
            <w:tcBorders>
              <w:top w:val="nil"/>
              <w:left w:val="single" w:sz="12" w:space="0" w:color="auto"/>
              <w:bottom w:val="single" w:sz="12" w:space="0" w:color="auto"/>
              <w:right w:val="single" w:sz="4" w:space="0" w:color="auto"/>
            </w:tcBorders>
            <w:shd w:val="clear" w:color="000000" w:fill="FFFFFF"/>
            <w:noWrap/>
            <w:vAlign w:val="bottom"/>
            <w:hideMark/>
          </w:tcPr>
          <w:p w:rsidR="000E3F15" w:rsidRPr="000E3F15" w:rsidRDefault="000E3F15" w:rsidP="000E3F15">
            <w:pPr>
              <w:rPr>
                <w:lang w:val="es-GT" w:eastAsia="es-GT"/>
              </w:rPr>
            </w:pPr>
            <w:r w:rsidRPr="000E3F15">
              <w:rPr>
                <w:lang w:val="es-GT" w:eastAsia="es-GT"/>
              </w:rPr>
              <w:t>Ministerio Público</w:t>
            </w:r>
          </w:p>
        </w:tc>
        <w:tc>
          <w:tcPr>
            <w:tcW w:w="1559" w:type="dxa"/>
            <w:tcBorders>
              <w:top w:val="nil"/>
              <w:left w:val="nil"/>
              <w:bottom w:val="single" w:sz="12" w:space="0" w:color="auto"/>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450.7</w:t>
            </w:r>
          </w:p>
        </w:tc>
        <w:tc>
          <w:tcPr>
            <w:tcW w:w="1418" w:type="dxa"/>
            <w:tcBorders>
              <w:top w:val="nil"/>
              <w:left w:val="nil"/>
              <w:bottom w:val="single" w:sz="12" w:space="0" w:color="auto"/>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634.5</w:t>
            </w:r>
          </w:p>
        </w:tc>
        <w:tc>
          <w:tcPr>
            <w:tcW w:w="1559" w:type="dxa"/>
            <w:tcBorders>
              <w:top w:val="nil"/>
              <w:left w:val="nil"/>
              <w:bottom w:val="single" w:sz="12" w:space="0" w:color="auto"/>
              <w:right w:val="single" w:sz="4"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183.8</w:t>
            </w:r>
          </w:p>
        </w:tc>
        <w:tc>
          <w:tcPr>
            <w:tcW w:w="1417" w:type="dxa"/>
            <w:tcBorders>
              <w:top w:val="nil"/>
              <w:left w:val="single" w:sz="4" w:space="0" w:color="auto"/>
              <w:bottom w:val="single" w:sz="12" w:space="0" w:color="auto"/>
              <w:right w:val="single" w:sz="12" w:space="0" w:color="auto"/>
            </w:tcBorders>
            <w:shd w:val="clear" w:color="000000" w:fill="FFFFFF"/>
            <w:noWrap/>
            <w:vAlign w:val="center"/>
            <w:hideMark/>
          </w:tcPr>
          <w:p w:rsidR="000E3F15" w:rsidRPr="000E3F15" w:rsidRDefault="000E3F15" w:rsidP="000E3F15">
            <w:pPr>
              <w:jc w:val="right"/>
              <w:rPr>
                <w:lang w:val="es-GT" w:eastAsia="es-GT"/>
              </w:rPr>
            </w:pPr>
            <w:r w:rsidRPr="000E3F15">
              <w:rPr>
                <w:lang w:val="es-GT" w:eastAsia="es-GT"/>
              </w:rPr>
              <w:t>40.8%</w:t>
            </w:r>
          </w:p>
        </w:tc>
      </w:tr>
    </w:tbl>
    <w:p w:rsidR="00FB641E" w:rsidRPr="003115F3" w:rsidRDefault="00FB641E" w:rsidP="00FB641E">
      <w:pPr>
        <w:rPr>
          <w:sz w:val="16"/>
          <w:lang w:val="es-MX"/>
        </w:rPr>
      </w:pPr>
      <w:r w:rsidRPr="003115F3">
        <w:rPr>
          <w:sz w:val="16"/>
          <w:lang w:val="es-MX"/>
        </w:rPr>
        <w:t>Fuente: Ministerio de Finanzas Públicas con base al SICOIN.</w:t>
      </w:r>
    </w:p>
    <w:p w:rsidR="00FB641E" w:rsidRDefault="00FB641E" w:rsidP="00FB641E">
      <w:pPr>
        <w:rPr>
          <w:sz w:val="16"/>
          <w:lang w:val="es-MX"/>
        </w:rPr>
      </w:pPr>
      <w:r w:rsidRPr="003115F3">
        <w:rPr>
          <w:sz w:val="16"/>
          <w:lang w:val="es-MX"/>
        </w:rPr>
        <w:t>* Cifras preliminares</w:t>
      </w:r>
    </w:p>
    <w:p w:rsidR="00123324" w:rsidRPr="004C2E12" w:rsidRDefault="00123324" w:rsidP="00FB641E">
      <w:pPr>
        <w:rPr>
          <w:lang w:val="es-MX"/>
        </w:rPr>
      </w:pPr>
    </w:p>
    <w:p w:rsidR="00123324" w:rsidRPr="004C2E12" w:rsidRDefault="004C2E12" w:rsidP="00846034">
      <w:pPr>
        <w:jc w:val="both"/>
        <w:rPr>
          <w:lang w:val="es-MX"/>
        </w:rPr>
      </w:pPr>
      <w:r>
        <w:rPr>
          <w:lang w:val="es-MX"/>
        </w:rPr>
        <w:t>En el primer año de Gobierno de la Unidad Nacional de la Esperanza (UNE), al 30 de junio de 2008 se alcanzó una ejecución de Q</w:t>
      </w:r>
      <w:r w:rsidR="00047418">
        <w:rPr>
          <w:lang w:val="es-MX"/>
        </w:rPr>
        <w:t xml:space="preserve"> </w:t>
      </w:r>
      <w:r>
        <w:rPr>
          <w:lang w:val="es-MX"/>
        </w:rPr>
        <w:t>6,586.2 millones</w:t>
      </w:r>
      <w:r w:rsidR="00D77387">
        <w:rPr>
          <w:lang w:val="es-MX"/>
        </w:rPr>
        <w:t>.  Al 30 de junio de 2012, en el primer año de Gobierno del Partido Patriota (PP</w:t>
      </w:r>
      <w:r w:rsidR="00047418">
        <w:rPr>
          <w:lang w:val="es-MX"/>
        </w:rPr>
        <w:t xml:space="preserve">) se alcanzó una ejecución de Q </w:t>
      </w:r>
      <w:r w:rsidR="00D77387">
        <w:rPr>
          <w:lang w:val="es-MX"/>
        </w:rPr>
        <w:t xml:space="preserve">11,933.2 millones, mientras que al 30 de junio de 2016 </w:t>
      </w:r>
      <w:r w:rsidR="00846034">
        <w:rPr>
          <w:lang w:val="es-MX"/>
        </w:rPr>
        <w:t>en la actual administración de Gobierno se tiene una ejecución de Q</w:t>
      </w:r>
      <w:r w:rsidR="00100FA2">
        <w:rPr>
          <w:lang w:val="es-MX"/>
        </w:rPr>
        <w:t xml:space="preserve"> </w:t>
      </w:r>
      <w:r w:rsidR="00846034">
        <w:rPr>
          <w:lang w:val="es-MX"/>
        </w:rPr>
        <w:t>16,037.7 millones,</w:t>
      </w:r>
      <w:r w:rsidR="008517A4">
        <w:rPr>
          <w:lang w:val="es-MX"/>
        </w:rPr>
        <w:t xml:space="preserve"> lo que confirma la prioridad que la Política General de Gobierno confiere a los sectores de Salud, Educación y Seguridad,</w:t>
      </w:r>
      <w:r w:rsidR="00846034">
        <w:rPr>
          <w:lang w:val="es-MX"/>
        </w:rPr>
        <w:t xml:space="preserve"> tal como se muestra en el cuadro siguiente:</w:t>
      </w:r>
    </w:p>
    <w:p w:rsidR="00123324" w:rsidRPr="004C2E12" w:rsidRDefault="00123324" w:rsidP="00FB641E">
      <w:pPr>
        <w:rPr>
          <w:lang w:val="es-MX"/>
        </w:rPr>
      </w:pPr>
    </w:p>
    <w:p w:rsidR="00123324" w:rsidRPr="004C2E12" w:rsidRDefault="00123324" w:rsidP="00FB641E">
      <w:pPr>
        <w:rPr>
          <w:lang w:val="es-MX"/>
        </w:rPr>
      </w:pPr>
    </w:p>
    <w:p w:rsidR="00123324" w:rsidRPr="004C2E12" w:rsidRDefault="00123324" w:rsidP="00FB641E">
      <w:pPr>
        <w:rPr>
          <w:lang w:val="es-MX"/>
        </w:rPr>
      </w:pPr>
    </w:p>
    <w:p w:rsidR="00123324" w:rsidRPr="004C2E12" w:rsidRDefault="00123324" w:rsidP="00FB641E">
      <w:pPr>
        <w:rPr>
          <w:lang w:val="es-MX"/>
        </w:rPr>
      </w:pPr>
    </w:p>
    <w:p w:rsidR="004C2E12" w:rsidRPr="00FB641E" w:rsidRDefault="004C2E12" w:rsidP="004C2E12">
      <w:pPr>
        <w:jc w:val="center"/>
        <w:rPr>
          <w:b/>
          <w:sz w:val="22"/>
        </w:rPr>
      </w:pPr>
      <w:r w:rsidRPr="00FB641E">
        <w:rPr>
          <w:b/>
          <w:sz w:val="22"/>
        </w:rPr>
        <w:lastRenderedPageBreak/>
        <w:t xml:space="preserve">Cuadro </w:t>
      </w:r>
      <w:r w:rsidR="00846034">
        <w:rPr>
          <w:b/>
          <w:sz w:val="22"/>
        </w:rPr>
        <w:t>6</w:t>
      </w:r>
    </w:p>
    <w:p w:rsidR="004C2E12" w:rsidRPr="00FB641E" w:rsidRDefault="004C2E12" w:rsidP="004C2E12">
      <w:pPr>
        <w:jc w:val="center"/>
        <w:rPr>
          <w:b/>
          <w:sz w:val="22"/>
        </w:rPr>
      </w:pPr>
      <w:r w:rsidRPr="00FB641E">
        <w:rPr>
          <w:b/>
          <w:sz w:val="22"/>
        </w:rPr>
        <w:t>Ejecución Presupuestaria del Gasto Social y Acuerdos de Paz</w:t>
      </w:r>
    </w:p>
    <w:p w:rsidR="004C2E12" w:rsidRDefault="004C2E12" w:rsidP="004C2E12">
      <w:pPr>
        <w:jc w:val="center"/>
        <w:rPr>
          <w:i/>
          <w:sz w:val="22"/>
        </w:rPr>
      </w:pPr>
      <w:r w:rsidRPr="00333AB5">
        <w:rPr>
          <w:i/>
          <w:sz w:val="22"/>
        </w:rPr>
        <w:t>Al 30 de junio de cada año</w:t>
      </w:r>
    </w:p>
    <w:p w:rsidR="004C2E12" w:rsidRPr="00333AB5" w:rsidRDefault="004C2E12" w:rsidP="004C2E12">
      <w:pPr>
        <w:jc w:val="center"/>
        <w:rPr>
          <w:i/>
          <w:sz w:val="22"/>
        </w:rPr>
      </w:pPr>
      <w:r>
        <w:rPr>
          <w:i/>
          <w:sz w:val="22"/>
        </w:rPr>
        <w:t>En el primer año de Gobierno</w:t>
      </w:r>
      <w:r w:rsidR="00924250">
        <w:rPr>
          <w:i/>
          <w:sz w:val="22"/>
        </w:rPr>
        <w:t xml:space="preserve"> de las tres últimas Administraciones</w:t>
      </w:r>
    </w:p>
    <w:p w:rsidR="004C2E12" w:rsidRDefault="004C2E12" w:rsidP="004C2E12">
      <w:pPr>
        <w:jc w:val="center"/>
        <w:rPr>
          <w:i/>
          <w:sz w:val="22"/>
        </w:rPr>
      </w:pPr>
      <w:r w:rsidRPr="00333AB5">
        <w:rPr>
          <w:i/>
          <w:sz w:val="22"/>
        </w:rPr>
        <w:t xml:space="preserve">(Cifras </w:t>
      </w:r>
      <w:r w:rsidR="00315303">
        <w:rPr>
          <w:i/>
          <w:sz w:val="22"/>
        </w:rPr>
        <w:t>como porcentaje del Presupuesto Total Ejecutado</w:t>
      </w:r>
      <w:r w:rsidRPr="00333AB5">
        <w:rPr>
          <w:i/>
          <w:sz w:val="22"/>
        </w:rPr>
        <w:t>)</w:t>
      </w:r>
    </w:p>
    <w:p w:rsidR="00315303" w:rsidRDefault="00315303" w:rsidP="004C2E12">
      <w:pPr>
        <w:rPr>
          <w:sz w:val="16"/>
          <w:lang w:val="es-MX"/>
        </w:rPr>
      </w:pPr>
    </w:p>
    <w:tbl>
      <w:tblPr>
        <w:tblW w:w="7980" w:type="dxa"/>
        <w:jc w:val="center"/>
        <w:tblCellMar>
          <w:left w:w="70" w:type="dxa"/>
          <w:right w:w="70" w:type="dxa"/>
        </w:tblCellMar>
        <w:tblLook w:val="04A0" w:firstRow="1" w:lastRow="0" w:firstColumn="1" w:lastColumn="0" w:noHBand="0" w:noVBand="1"/>
      </w:tblPr>
      <w:tblGrid>
        <w:gridCol w:w="3480"/>
        <w:gridCol w:w="1500"/>
        <w:gridCol w:w="1500"/>
        <w:gridCol w:w="1500"/>
      </w:tblGrid>
      <w:tr w:rsidR="00315303" w:rsidRPr="00315303" w:rsidTr="00C34BC3">
        <w:trPr>
          <w:trHeight w:val="315"/>
          <w:jc w:val="center"/>
        </w:trPr>
        <w:tc>
          <w:tcPr>
            <w:tcW w:w="3480" w:type="dxa"/>
            <w:vMerge w:val="restart"/>
            <w:tcBorders>
              <w:top w:val="single" w:sz="12" w:space="0" w:color="auto"/>
              <w:left w:val="single" w:sz="12" w:space="0" w:color="auto"/>
              <w:bottom w:val="single" w:sz="12" w:space="0" w:color="000000"/>
              <w:right w:val="single" w:sz="4" w:space="0" w:color="auto"/>
            </w:tcBorders>
            <w:shd w:val="clear" w:color="000000" w:fill="8DB4E2"/>
            <w:vAlign w:val="center"/>
            <w:hideMark/>
          </w:tcPr>
          <w:p w:rsidR="00315303" w:rsidRPr="00315303" w:rsidRDefault="00315303" w:rsidP="00315303">
            <w:pPr>
              <w:jc w:val="center"/>
              <w:rPr>
                <w:b/>
                <w:bCs/>
                <w:sz w:val="22"/>
                <w:szCs w:val="22"/>
                <w:lang w:val="es-GT" w:eastAsia="es-GT"/>
              </w:rPr>
            </w:pPr>
            <w:r w:rsidRPr="00315303">
              <w:rPr>
                <w:b/>
                <w:bCs/>
                <w:sz w:val="22"/>
                <w:szCs w:val="22"/>
                <w:lang w:val="es-GT" w:eastAsia="es-GT"/>
              </w:rPr>
              <w:t>Sector</w:t>
            </w:r>
          </w:p>
        </w:tc>
        <w:tc>
          <w:tcPr>
            <w:tcW w:w="1500" w:type="dxa"/>
            <w:vMerge w:val="restart"/>
            <w:tcBorders>
              <w:top w:val="single" w:sz="12" w:space="0" w:color="auto"/>
              <w:left w:val="single" w:sz="4" w:space="0" w:color="auto"/>
              <w:bottom w:val="single" w:sz="12" w:space="0" w:color="000000"/>
              <w:right w:val="single" w:sz="4" w:space="0" w:color="auto"/>
            </w:tcBorders>
            <w:shd w:val="clear" w:color="000000" w:fill="8DB4E2"/>
            <w:vAlign w:val="center"/>
            <w:hideMark/>
          </w:tcPr>
          <w:p w:rsidR="00315303" w:rsidRPr="00315303" w:rsidRDefault="00315303" w:rsidP="00315303">
            <w:pPr>
              <w:jc w:val="center"/>
              <w:rPr>
                <w:b/>
                <w:bCs/>
                <w:sz w:val="22"/>
                <w:szCs w:val="22"/>
                <w:lang w:val="es-GT" w:eastAsia="es-GT"/>
              </w:rPr>
            </w:pPr>
            <w:r w:rsidRPr="00315303">
              <w:rPr>
                <w:b/>
                <w:bCs/>
                <w:sz w:val="22"/>
                <w:szCs w:val="22"/>
                <w:lang w:val="es-GT" w:eastAsia="es-GT"/>
              </w:rPr>
              <w:t>2008</w:t>
            </w:r>
          </w:p>
        </w:tc>
        <w:tc>
          <w:tcPr>
            <w:tcW w:w="1500" w:type="dxa"/>
            <w:vMerge w:val="restart"/>
            <w:tcBorders>
              <w:top w:val="single" w:sz="12" w:space="0" w:color="auto"/>
              <w:left w:val="single" w:sz="4" w:space="0" w:color="auto"/>
              <w:bottom w:val="single" w:sz="12" w:space="0" w:color="000000"/>
              <w:right w:val="single" w:sz="4" w:space="0" w:color="auto"/>
            </w:tcBorders>
            <w:shd w:val="clear" w:color="000000" w:fill="8DB4E2"/>
            <w:vAlign w:val="center"/>
            <w:hideMark/>
          </w:tcPr>
          <w:p w:rsidR="00315303" w:rsidRPr="00315303" w:rsidRDefault="00315303" w:rsidP="00315303">
            <w:pPr>
              <w:jc w:val="center"/>
              <w:rPr>
                <w:b/>
                <w:bCs/>
                <w:sz w:val="22"/>
                <w:szCs w:val="22"/>
                <w:lang w:val="es-GT" w:eastAsia="es-GT"/>
              </w:rPr>
            </w:pPr>
            <w:r w:rsidRPr="00315303">
              <w:rPr>
                <w:b/>
                <w:bCs/>
                <w:sz w:val="22"/>
                <w:szCs w:val="22"/>
                <w:lang w:val="es-GT" w:eastAsia="es-GT"/>
              </w:rPr>
              <w:t>2012</w:t>
            </w:r>
          </w:p>
        </w:tc>
        <w:tc>
          <w:tcPr>
            <w:tcW w:w="1500" w:type="dxa"/>
            <w:vMerge w:val="restart"/>
            <w:tcBorders>
              <w:top w:val="single" w:sz="12" w:space="0" w:color="auto"/>
              <w:left w:val="single" w:sz="4" w:space="0" w:color="auto"/>
              <w:bottom w:val="single" w:sz="12" w:space="0" w:color="000000"/>
              <w:right w:val="single" w:sz="12" w:space="0" w:color="auto"/>
            </w:tcBorders>
            <w:shd w:val="clear" w:color="000000" w:fill="8DB4E2"/>
            <w:vAlign w:val="center"/>
            <w:hideMark/>
          </w:tcPr>
          <w:p w:rsidR="00315303" w:rsidRPr="00315303" w:rsidRDefault="00315303" w:rsidP="00315303">
            <w:pPr>
              <w:jc w:val="center"/>
              <w:rPr>
                <w:b/>
                <w:bCs/>
                <w:sz w:val="22"/>
                <w:szCs w:val="22"/>
                <w:lang w:val="es-GT" w:eastAsia="es-GT"/>
              </w:rPr>
            </w:pPr>
            <w:r w:rsidRPr="00315303">
              <w:rPr>
                <w:b/>
                <w:bCs/>
                <w:sz w:val="22"/>
                <w:szCs w:val="22"/>
                <w:lang w:val="es-GT" w:eastAsia="es-GT"/>
              </w:rPr>
              <w:t>2016</w:t>
            </w:r>
            <w:r>
              <w:rPr>
                <w:b/>
                <w:bCs/>
                <w:sz w:val="22"/>
                <w:szCs w:val="22"/>
                <w:lang w:val="es-GT" w:eastAsia="es-GT"/>
              </w:rPr>
              <w:t>*</w:t>
            </w:r>
          </w:p>
        </w:tc>
      </w:tr>
      <w:tr w:rsidR="00315303" w:rsidRPr="00315303" w:rsidTr="00C34BC3">
        <w:trPr>
          <w:trHeight w:val="315"/>
          <w:jc w:val="center"/>
        </w:trPr>
        <w:tc>
          <w:tcPr>
            <w:tcW w:w="3480" w:type="dxa"/>
            <w:vMerge/>
            <w:tcBorders>
              <w:top w:val="single" w:sz="12" w:space="0" w:color="auto"/>
              <w:left w:val="single" w:sz="12" w:space="0" w:color="auto"/>
              <w:bottom w:val="single" w:sz="12" w:space="0" w:color="000000"/>
              <w:right w:val="single" w:sz="4" w:space="0" w:color="auto"/>
            </w:tcBorders>
            <w:vAlign w:val="center"/>
            <w:hideMark/>
          </w:tcPr>
          <w:p w:rsidR="00315303" w:rsidRPr="00315303" w:rsidRDefault="00315303" w:rsidP="00315303">
            <w:pPr>
              <w:rPr>
                <w:b/>
                <w:bCs/>
                <w:sz w:val="22"/>
                <w:szCs w:val="22"/>
                <w:lang w:val="es-GT" w:eastAsia="es-GT"/>
              </w:rPr>
            </w:pPr>
          </w:p>
        </w:tc>
        <w:tc>
          <w:tcPr>
            <w:tcW w:w="1500" w:type="dxa"/>
            <w:vMerge/>
            <w:tcBorders>
              <w:top w:val="single" w:sz="12" w:space="0" w:color="auto"/>
              <w:left w:val="single" w:sz="4" w:space="0" w:color="auto"/>
              <w:bottom w:val="single" w:sz="12" w:space="0" w:color="000000"/>
              <w:right w:val="single" w:sz="4" w:space="0" w:color="auto"/>
            </w:tcBorders>
            <w:vAlign w:val="center"/>
            <w:hideMark/>
          </w:tcPr>
          <w:p w:rsidR="00315303" w:rsidRPr="00315303" w:rsidRDefault="00315303" w:rsidP="00315303">
            <w:pPr>
              <w:rPr>
                <w:b/>
                <w:bCs/>
                <w:sz w:val="22"/>
                <w:szCs w:val="22"/>
                <w:lang w:val="es-GT" w:eastAsia="es-GT"/>
              </w:rPr>
            </w:pPr>
          </w:p>
        </w:tc>
        <w:tc>
          <w:tcPr>
            <w:tcW w:w="1500" w:type="dxa"/>
            <w:vMerge/>
            <w:tcBorders>
              <w:top w:val="single" w:sz="12" w:space="0" w:color="auto"/>
              <w:left w:val="single" w:sz="4" w:space="0" w:color="auto"/>
              <w:bottom w:val="single" w:sz="12" w:space="0" w:color="000000"/>
              <w:right w:val="single" w:sz="4" w:space="0" w:color="auto"/>
            </w:tcBorders>
            <w:vAlign w:val="center"/>
            <w:hideMark/>
          </w:tcPr>
          <w:p w:rsidR="00315303" w:rsidRPr="00315303" w:rsidRDefault="00315303" w:rsidP="00315303">
            <w:pPr>
              <w:rPr>
                <w:b/>
                <w:bCs/>
                <w:sz w:val="22"/>
                <w:szCs w:val="22"/>
                <w:lang w:val="es-GT" w:eastAsia="es-GT"/>
              </w:rPr>
            </w:pPr>
          </w:p>
        </w:tc>
        <w:tc>
          <w:tcPr>
            <w:tcW w:w="1500" w:type="dxa"/>
            <w:vMerge/>
            <w:tcBorders>
              <w:top w:val="single" w:sz="12" w:space="0" w:color="auto"/>
              <w:left w:val="single" w:sz="4" w:space="0" w:color="auto"/>
              <w:bottom w:val="single" w:sz="12" w:space="0" w:color="000000"/>
              <w:right w:val="single" w:sz="12" w:space="0" w:color="auto"/>
            </w:tcBorders>
            <w:vAlign w:val="center"/>
            <w:hideMark/>
          </w:tcPr>
          <w:p w:rsidR="00315303" w:rsidRPr="00315303" w:rsidRDefault="00315303" w:rsidP="00315303">
            <w:pPr>
              <w:rPr>
                <w:b/>
                <w:bCs/>
                <w:sz w:val="22"/>
                <w:szCs w:val="22"/>
                <w:lang w:val="es-GT" w:eastAsia="es-GT"/>
              </w:rPr>
            </w:pPr>
          </w:p>
        </w:tc>
      </w:tr>
      <w:tr w:rsidR="00315303" w:rsidRPr="00315303" w:rsidTr="00C34BC3">
        <w:trPr>
          <w:trHeight w:val="315"/>
          <w:jc w:val="center"/>
        </w:trPr>
        <w:tc>
          <w:tcPr>
            <w:tcW w:w="3480" w:type="dxa"/>
            <w:tcBorders>
              <w:top w:val="nil"/>
              <w:left w:val="single" w:sz="12" w:space="0" w:color="auto"/>
              <w:bottom w:val="nil"/>
              <w:right w:val="single" w:sz="4" w:space="0" w:color="auto"/>
            </w:tcBorders>
            <w:shd w:val="clear" w:color="000000" w:fill="FFFFFF"/>
            <w:noWrap/>
            <w:vAlign w:val="center"/>
            <w:hideMark/>
          </w:tcPr>
          <w:p w:rsidR="00315303" w:rsidRPr="00315303" w:rsidRDefault="00315303" w:rsidP="00315303">
            <w:pPr>
              <w:jc w:val="center"/>
              <w:rPr>
                <w:b/>
                <w:bCs/>
                <w:sz w:val="22"/>
                <w:szCs w:val="22"/>
                <w:lang w:val="es-GT" w:eastAsia="es-GT"/>
              </w:rPr>
            </w:pPr>
            <w:r w:rsidRPr="00315303">
              <w:rPr>
                <w:b/>
                <w:bCs/>
                <w:sz w:val="22"/>
                <w:szCs w:val="22"/>
                <w:lang w:val="es-GT" w:eastAsia="es-GT"/>
              </w:rPr>
              <w:t>Total</w:t>
            </w:r>
          </w:p>
        </w:tc>
        <w:tc>
          <w:tcPr>
            <w:tcW w:w="1500" w:type="dxa"/>
            <w:tcBorders>
              <w:top w:val="nil"/>
              <w:left w:val="nil"/>
              <w:bottom w:val="nil"/>
              <w:right w:val="single" w:sz="4" w:space="0" w:color="auto"/>
            </w:tcBorders>
            <w:shd w:val="clear" w:color="000000" w:fill="FFFFFF"/>
            <w:noWrap/>
            <w:vAlign w:val="center"/>
            <w:hideMark/>
          </w:tcPr>
          <w:p w:rsidR="00315303" w:rsidRPr="00315303" w:rsidRDefault="00315303" w:rsidP="00315303">
            <w:pPr>
              <w:jc w:val="right"/>
              <w:rPr>
                <w:b/>
                <w:bCs/>
                <w:sz w:val="22"/>
                <w:szCs w:val="22"/>
                <w:lang w:val="es-GT" w:eastAsia="es-GT"/>
              </w:rPr>
            </w:pPr>
            <w:r w:rsidRPr="00315303">
              <w:rPr>
                <w:b/>
                <w:bCs/>
                <w:sz w:val="22"/>
                <w:szCs w:val="22"/>
                <w:lang w:val="es-GT" w:eastAsia="es-GT"/>
              </w:rPr>
              <w:t>38.6%</w:t>
            </w:r>
          </w:p>
        </w:tc>
        <w:tc>
          <w:tcPr>
            <w:tcW w:w="1500" w:type="dxa"/>
            <w:tcBorders>
              <w:top w:val="nil"/>
              <w:left w:val="nil"/>
              <w:bottom w:val="nil"/>
              <w:right w:val="single" w:sz="4" w:space="0" w:color="auto"/>
            </w:tcBorders>
            <w:shd w:val="clear" w:color="000000" w:fill="FFFFFF"/>
            <w:noWrap/>
            <w:vAlign w:val="center"/>
            <w:hideMark/>
          </w:tcPr>
          <w:p w:rsidR="00315303" w:rsidRPr="00315303" w:rsidRDefault="00315303" w:rsidP="00315303">
            <w:pPr>
              <w:jc w:val="right"/>
              <w:rPr>
                <w:b/>
                <w:bCs/>
                <w:sz w:val="22"/>
                <w:szCs w:val="22"/>
                <w:lang w:val="es-GT" w:eastAsia="es-GT"/>
              </w:rPr>
            </w:pPr>
            <w:r w:rsidRPr="00315303">
              <w:rPr>
                <w:b/>
                <w:bCs/>
                <w:sz w:val="22"/>
                <w:szCs w:val="22"/>
                <w:lang w:val="es-GT" w:eastAsia="es-GT"/>
              </w:rPr>
              <w:t>51.6%</w:t>
            </w:r>
          </w:p>
        </w:tc>
        <w:tc>
          <w:tcPr>
            <w:tcW w:w="1500" w:type="dxa"/>
            <w:tcBorders>
              <w:top w:val="nil"/>
              <w:left w:val="nil"/>
              <w:bottom w:val="nil"/>
              <w:right w:val="single" w:sz="12" w:space="0" w:color="auto"/>
            </w:tcBorders>
            <w:shd w:val="clear" w:color="000000" w:fill="FFFFFF"/>
            <w:noWrap/>
            <w:vAlign w:val="center"/>
            <w:hideMark/>
          </w:tcPr>
          <w:p w:rsidR="00315303" w:rsidRPr="00315303" w:rsidRDefault="00315303" w:rsidP="00315303">
            <w:pPr>
              <w:jc w:val="right"/>
              <w:rPr>
                <w:b/>
                <w:bCs/>
                <w:sz w:val="22"/>
                <w:szCs w:val="22"/>
                <w:lang w:val="es-GT" w:eastAsia="es-GT"/>
              </w:rPr>
            </w:pPr>
            <w:r w:rsidRPr="00315303">
              <w:rPr>
                <w:b/>
                <w:bCs/>
                <w:sz w:val="22"/>
                <w:szCs w:val="22"/>
                <w:lang w:val="es-GT" w:eastAsia="es-GT"/>
              </w:rPr>
              <w:t>56.1%</w:t>
            </w:r>
          </w:p>
        </w:tc>
      </w:tr>
      <w:tr w:rsidR="00315303" w:rsidRPr="00315303" w:rsidTr="00C34BC3">
        <w:trPr>
          <w:trHeight w:val="300"/>
          <w:jc w:val="center"/>
        </w:trPr>
        <w:tc>
          <w:tcPr>
            <w:tcW w:w="3480" w:type="dxa"/>
            <w:tcBorders>
              <w:top w:val="nil"/>
              <w:left w:val="single" w:sz="12" w:space="0" w:color="auto"/>
              <w:bottom w:val="nil"/>
              <w:right w:val="single" w:sz="4" w:space="0" w:color="auto"/>
            </w:tcBorders>
            <w:shd w:val="clear" w:color="000000" w:fill="FFFFFF"/>
            <w:noWrap/>
            <w:vAlign w:val="bottom"/>
            <w:hideMark/>
          </w:tcPr>
          <w:p w:rsidR="00315303" w:rsidRPr="00315303" w:rsidRDefault="00315303" w:rsidP="00315303">
            <w:pPr>
              <w:rPr>
                <w:sz w:val="22"/>
                <w:szCs w:val="22"/>
                <w:lang w:val="es-GT" w:eastAsia="es-GT"/>
              </w:rPr>
            </w:pPr>
            <w:r w:rsidRPr="00315303">
              <w:rPr>
                <w:sz w:val="22"/>
                <w:szCs w:val="22"/>
                <w:lang w:val="es-GT" w:eastAsia="es-GT"/>
              </w:rPr>
              <w:t>Salud y Asistencia Social</w:t>
            </w:r>
          </w:p>
        </w:tc>
        <w:tc>
          <w:tcPr>
            <w:tcW w:w="1500" w:type="dxa"/>
            <w:tcBorders>
              <w:top w:val="nil"/>
              <w:left w:val="nil"/>
              <w:bottom w:val="nil"/>
              <w:right w:val="nil"/>
            </w:tcBorders>
            <w:shd w:val="clear" w:color="auto" w:fill="auto"/>
            <w:noWrap/>
            <w:vAlign w:val="bottom"/>
            <w:hideMark/>
          </w:tcPr>
          <w:p w:rsidR="00315303" w:rsidRPr="00315303" w:rsidRDefault="00315303" w:rsidP="00315303">
            <w:pPr>
              <w:jc w:val="right"/>
              <w:rPr>
                <w:rFonts w:ascii="CG Times" w:hAnsi="CG Times" w:cs="Calibri"/>
                <w:sz w:val="22"/>
                <w:szCs w:val="22"/>
                <w:lang w:val="es-GT" w:eastAsia="es-GT"/>
              </w:rPr>
            </w:pPr>
            <w:r w:rsidRPr="00315303">
              <w:rPr>
                <w:rFonts w:ascii="CG Times" w:hAnsi="CG Times" w:cs="Calibri"/>
                <w:sz w:val="22"/>
                <w:szCs w:val="22"/>
                <w:lang w:val="es-GT" w:eastAsia="es-GT"/>
              </w:rPr>
              <w:t>8.7%</w:t>
            </w:r>
          </w:p>
        </w:tc>
        <w:tc>
          <w:tcPr>
            <w:tcW w:w="1500" w:type="dxa"/>
            <w:tcBorders>
              <w:top w:val="nil"/>
              <w:left w:val="single" w:sz="4" w:space="0" w:color="auto"/>
              <w:bottom w:val="nil"/>
              <w:right w:val="single" w:sz="4"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17.6%</w:t>
            </w:r>
          </w:p>
        </w:tc>
        <w:tc>
          <w:tcPr>
            <w:tcW w:w="1500" w:type="dxa"/>
            <w:tcBorders>
              <w:top w:val="nil"/>
              <w:left w:val="nil"/>
              <w:bottom w:val="nil"/>
              <w:right w:val="single" w:sz="12"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18.5%</w:t>
            </w:r>
          </w:p>
        </w:tc>
      </w:tr>
      <w:tr w:rsidR="00315303" w:rsidRPr="00315303" w:rsidTr="00C34BC3">
        <w:trPr>
          <w:trHeight w:val="300"/>
          <w:jc w:val="center"/>
        </w:trPr>
        <w:tc>
          <w:tcPr>
            <w:tcW w:w="3480" w:type="dxa"/>
            <w:tcBorders>
              <w:top w:val="nil"/>
              <w:left w:val="single" w:sz="12" w:space="0" w:color="auto"/>
              <w:bottom w:val="nil"/>
              <w:right w:val="single" w:sz="4" w:space="0" w:color="auto"/>
            </w:tcBorders>
            <w:shd w:val="clear" w:color="000000" w:fill="FFFFFF"/>
            <w:noWrap/>
            <w:vAlign w:val="bottom"/>
            <w:hideMark/>
          </w:tcPr>
          <w:p w:rsidR="00315303" w:rsidRPr="00315303" w:rsidRDefault="00315303" w:rsidP="00315303">
            <w:pPr>
              <w:rPr>
                <w:sz w:val="22"/>
                <w:szCs w:val="22"/>
                <w:lang w:val="es-GT" w:eastAsia="es-GT"/>
              </w:rPr>
            </w:pPr>
            <w:r w:rsidRPr="00315303">
              <w:rPr>
                <w:sz w:val="22"/>
                <w:szCs w:val="22"/>
                <w:lang w:val="es-GT" w:eastAsia="es-GT"/>
              </w:rPr>
              <w:t>Educación, Ciencia y Cultura</w:t>
            </w:r>
          </w:p>
        </w:tc>
        <w:tc>
          <w:tcPr>
            <w:tcW w:w="1500" w:type="dxa"/>
            <w:tcBorders>
              <w:top w:val="nil"/>
              <w:left w:val="nil"/>
              <w:bottom w:val="nil"/>
              <w:right w:val="single" w:sz="4"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19.3%</w:t>
            </w:r>
          </w:p>
        </w:tc>
        <w:tc>
          <w:tcPr>
            <w:tcW w:w="1500" w:type="dxa"/>
            <w:tcBorders>
              <w:top w:val="nil"/>
              <w:left w:val="nil"/>
              <w:bottom w:val="nil"/>
              <w:right w:val="single" w:sz="4"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23.2%</w:t>
            </w:r>
          </w:p>
        </w:tc>
        <w:tc>
          <w:tcPr>
            <w:tcW w:w="1500" w:type="dxa"/>
            <w:tcBorders>
              <w:top w:val="nil"/>
              <w:left w:val="nil"/>
              <w:bottom w:val="nil"/>
              <w:right w:val="single" w:sz="12"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25.7%</w:t>
            </w:r>
          </w:p>
        </w:tc>
      </w:tr>
      <w:tr w:rsidR="00315303" w:rsidRPr="00315303" w:rsidTr="00C34BC3">
        <w:trPr>
          <w:trHeight w:val="300"/>
          <w:jc w:val="center"/>
        </w:trPr>
        <w:tc>
          <w:tcPr>
            <w:tcW w:w="3480" w:type="dxa"/>
            <w:tcBorders>
              <w:top w:val="nil"/>
              <w:left w:val="single" w:sz="12" w:space="0" w:color="auto"/>
              <w:bottom w:val="nil"/>
              <w:right w:val="single" w:sz="4" w:space="0" w:color="auto"/>
            </w:tcBorders>
            <w:shd w:val="clear" w:color="000000" w:fill="FFFFFF"/>
            <w:noWrap/>
            <w:vAlign w:val="bottom"/>
            <w:hideMark/>
          </w:tcPr>
          <w:p w:rsidR="00315303" w:rsidRPr="00315303" w:rsidRDefault="00315303" w:rsidP="00315303">
            <w:pPr>
              <w:rPr>
                <w:sz w:val="22"/>
                <w:szCs w:val="22"/>
                <w:lang w:val="es-GT" w:eastAsia="es-GT"/>
              </w:rPr>
            </w:pPr>
            <w:r w:rsidRPr="00315303">
              <w:rPr>
                <w:sz w:val="22"/>
                <w:szCs w:val="22"/>
                <w:lang w:val="es-GT" w:eastAsia="es-GT"/>
              </w:rPr>
              <w:t>Vivienda</w:t>
            </w:r>
          </w:p>
        </w:tc>
        <w:tc>
          <w:tcPr>
            <w:tcW w:w="1500" w:type="dxa"/>
            <w:tcBorders>
              <w:top w:val="nil"/>
              <w:left w:val="nil"/>
              <w:bottom w:val="nil"/>
              <w:right w:val="nil"/>
            </w:tcBorders>
            <w:shd w:val="clear" w:color="auto" w:fill="auto"/>
            <w:noWrap/>
            <w:vAlign w:val="bottom"/>
            <w:hideMark/>
          </w:tcPr>
          <w:p w:rsidR="00315303" w:rsidRPr="00315303" w:rsidRDefault="00315303" w:rsidP="00315303">
            <w:pPr>
              <w:jc w:val="right"/>
              <w:rPr>
                <w:rFonts w:ascii="CG Times" w:hAnsi="CG Times" w:cs="Calibri"/>
                <w:sz w:val="22"/>
                <w:szCs w:val="22"/>
                <w:lang w:val="es-GT" w:eastAsia="es-GT"/>
              </w:rPr>
            </w:pPr>
            <w:r w:rsidRPr="00315303">
              <w:rPr>
                <w:rFonts w:ascii="CG Times" w:hAnsi="CG Times" w:cs="Calibri"/>
                <w:sz w:val="22"/>
                <w:szCs w:val="22"/>
                <w:lang w:val="es-GT" w:eastAsia="es-GT"/>
              </w:rPr>
              <w:t>0.2%</w:t>
            </w:r>
          </w:p>
        </w:tc>
        <w:tc>
          <w:tcPr>
            <w:tcW w:w="1500" w:type="dxa"/>
            <w:tcBorders>
              <w:top w:val="nil"/>
              <w:left w:val="single" w:sz="4" w:space="0" w:color="auto"/>
              <w:bottom w:val="nil"/>
              <w:right w:val="single" w:sz="4"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0.4%</w:t>
            </w:r>
          </w:p>
        </w:tc>
        <w:tc>
          <w:tcPr>
            <w:tcW w:w="1500" w:type="dxa"/>
            <w:tcBorders>
              <w:top w:val="nil"/>
              <w:left w:val="nil"/>
              <w:bottom w:val="nil"/>
              <w:right w:val="single" w:sz="12"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0.1%</w:t>
            </w:r>
          </w:p>
        </w:tc>
      </w:tr>
      <w:tr w:rsidR="00315303" w:rsidRPr="00315303" w:rsidTr="00C34BC3">
        <w:trPr>
          <w:trHeight w:val="300"/>
          <w:jc w:val="center"/>
        </w:trPr>
        <w:tc>
          <w:tcPr>
            <w:tcW w:w="3480" w:type="dxa"/>
            <w:tcBorders>
              <w:top w:val="nil"/>
              <w:left w:val="single" w:sz="12" w:space="0" w:color="auto"/>
              <w:bottom w:val="nil"/>
              <w:right w:val="single" w:sz="4" w:space="0" w:color="auto"/>
            </w:tcBorders>
            <w:shd w:val="clear" w:color="000000" w:fill="FFFFFF"/>
            <w:noWrap/>
            <w:vAlign w:val="bottom"/>
            <w:hideMark/>
          </w:tcPr>
          <w:p w:rsidR="00315303" w:rsidRPr="00315303" w:rsidRDefault="00315303" w:rsidP="00315303">
            <w:pPr>
              <w:jc w:val="center"/>
              <w:rPr>
                <w:b/>
                <w:bCs/>
                <w:sz w:val="22"/>
                <w:szCs w:val="22"/>
                <w:lang w:val="es-GT" w:eastAsia="es-GT"/>
              </w:rPr>
            </w:pPr>
            <w:r w:rsidRPr="00315303">
              <w:rPr>
                <w:b/>
                <w:bCs/>
                <w:sz w:val="22"/>
                <w:szCs w:val="22"/>
                <w:lang w:val="es-GT" w:eastAsia="es-GT"/>
              </w:rPr>
              <w:t>Sub Total</w:t>
            </w:r>
          </w:p>
        </w:tc>
        <w:tc>
          <w:tcPr>
            <w:tcW w:w="1500" w:type="dxa"/>
            <w:tcBorders>
              <w:top w:val="nil"/>
              <w:left w:val="nil"/>
              <w:bottom w:val="nil"/>
              <w:right w:val="single" w:sz="4" w:space="0" w:color="auto"/>
            </w:tcBorders>
            <w:shd w:val="clear" w:color="000000" w:fill="FFFFFF"/>
            <w:noWrap/>
            <w:vAlign w:val="center"/>
            <w:hideMark/>
          </w:tcPr>
          <w:p w:rsidR="00315303" w:rsidRPr="00315303" w:rsidRDefault="00315303" w:rsidP="00315303">
            <w:pPr>
              <w:jc w:val="right"/>
              <w:rPr>
                <w:b/>
                <w:bCs/>
                <w:sz w:val="22"/>
                <w:szCs w:val="22"/>
                <w:lang w:val="es-GT" w:eastAsia="es-GT"/>
              </w:rPr>
            </w:pPr>
            <w:r w:rsidRPr="00315303">
              <w:rPr>
                <w:b/>
                <w:bCs/>
                <w:sz w:val="22"/>
                <w:szCs w:val="22"/>
                <w:lang w:val="es-GT" w:eastAsia="es-GT"/>
              </w:rPr>
              <w:t>10.5%</w:t>
            </w:r>
          </w:p>
        </w:tc>
        <w:tc>
          <w:tcPr>
            <w:tcW w:w="1500" w:type="dxa"/>
            <w:tcBorders>
              <w:top w:val="nil"/>
              <w:left w:val="nil"/>
              <w:bottom w:val="nil"/>
              <w:right w:val="single" w:sz="4" w:space="0" w:color="auto"/>
            </w:tcBorders>
            <w:shd w:val="clear" w:color="000000" w:fill="FFFFFF"/>
            <w:noWrap/>
            <w:vAlign w:val="center"/>
            <w:hideMark/>
          </w:tcPr>
          <w:p w:rsidR="00315303" w:rsidRPr="00315303" w:rsidRDefault="00315303" w:rsidP="00315303">
            <w:pPr>
              <w:jc w:val="right"/>
              <w:rPr>
                <w:b/>
                <w:bCs/>
                <w:sz w:val="22"/>
                <w:szCs w:val="22"/>
                <w:lang w:val="es-GT" w:eastAsia="es-GT"/>
              </w:rPr>
            </w:pPr>
            <w:r w:rsidRPr="00315303">
              <w:rPr>
                <w:b/>
                <w:bCs/>
                <w:sz w:val="22"/>
                <w:szCs w:val="22"/>
                <w:lang w:val="es-GT" w:eastAsia="es-GT"/>
              </w:rPr>
              <w:t>10.6%</w:t>
            </w:r>
          </w:p>
        </w:tc>
        <w:tc>
          <w:tcPr>
            <w:tcW w:w="1500" w:type="dxa"/>
            <w:tcBorders>
              <w:top w:val="nil"/>
              <w:left w:val="nil"/>
              <w:bottom w:val="nil"/>
              <w:right w:val="single" w:sz="12" w:space="0" w:color="auto"/>
            </w:tcBorders>
            <w:shd w:val="clear" w:color="000000" w:fill="FFFFFF"/>
            <w:noWrap/>
            <w:vAlign w:val="center"/>
            <w:hideMark/>
          </w:tcPr>
          <w:p w:rsidR="00315303" w:rsidRPr="00315303" w:rsidRDefault="00315303" w:rsidP="00315303">
            <w:pPr>
              <w:jc w:val="right"/>
              <w:rPr>
                <w:b/>
                <w:bCs/>
                <w:sz w:val="22"/>
                <w:szCs w:val="22"/>
                <w:lang w:val="es-GT" w:eastAsia="es-GT"/>
              </w:rPr>
            </w:pPr>
            <w:r w:rsidRPr="00315303">
              <w:rPr>
                <w:b/>
                <w:bCs/>
                <w:sz w:val="22"/>
                <w:szCs w:val="22"/>
                <w:lang w:val="es-GT" w:eastAsia="es-GT"/>
              </w:rPr>
              <w:t>11.8%</w:t>
            </w:r>
          </w:p>
        </w:tc>
      </w:tr>
      <w:tr w:rsidR="00315303" w:rsidRPr="00315303" w:rsidTr="00C34BC3">
        <w:trPr>
          <w:trHeight w:val="300"/>
          <w:jc w:val="center"/>
        </w:trPr>
        <w:tc>
          <w:tcPr>
            <w:tcW w:w="3480" w:type="dxa"/>
            <w:tcBorders>
              <w:top w:val="nil"/>
              <w:left w:val="single" w:sz="12" w:space="0" w:color="auto"/>
              <w:bottom w:val="nil"/>
              <w:right w:val="single" w:sz="4" w:space="0" w:color="auto"/>
            </w:tcBorders>
            <w:shd w:val="clear" w:color="000000" w:fill="FFFFFF"/>
            <w:noWrap/>
            <w:vAlign w:val="bottom"/>
            <w:hideMark/>
          </w:tcPr>
          <w:p w:rsidR="00315303" w:rsidRPr="00315303" w:rsidRDefault="00315303" w:rsidP="00315303">
            <w:pPr>
              <w:rPr>
                <w:sz w:val="22"/>
                <w:szCs w:val="22"/>
                <w:lang w:val="es-GT" w:eastAsia="es-GT"/>
              </w:rPr>
            </w:pPr>
            <w:r w:rsidRPr="00315303">
              <w:rPr>
                <w:sz w:val="22"/>
                <w:szCs w:val="22"/>
                <w:lang w:val="es-GT" w:eastAsia="es-GT"/>
              </w:rPr>
              <w:t>Seguridad Interna</w:t>
            </w:r>
          </w:p>
        </w:tc>
        <w:tc>
          <w:tcPr>
            <w:tcW w:w="1500" w:type="dxa"/>
            <w:tcBorders>
              <w:top w:val="nil"/>
              <w:left w:val="nil"/>
              <w:bottom w:val="nil"/>
              <w:right w:val="single" w:sz="4"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5.1%</w:t>
            </w:r>
          </w:p>
        </w:tc>
        <w:tc>
          <w:tcPr>
            <w:tcW w:w="1500" w:type="dxa"/>
            <w:tcBorders>
              <w:top w:val="nil"/>
              <w:left w:val="nil"/>
              <w:bottom w:val="nil"/>
              <w:right w:val="single" w:sz="4"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6.0%</w:t>
            </w:r>
          </w:p>
        </w:tc>
        <w:tc>
          <w:tcPr>
            <w:tcW w:w="1500" w:type="dxa"/>
            <w:tcBorders>
              <w:top w:val="nil"/>
              <w:left w:val="nil"/>
              <w:bottom w:val="nil"/>
              <w:right w:val="single" w:sz="12"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6.1%</w:t>
            </w:r>
          </w:p>
        </w:tc>
      </w:tr>
      <w:tr w:rsidR="00315303" w:rsidRPr="00315303" w:rsidTr="00C34BC3">
        <w:trPr>
          <w:trHeight w:val="300"/>
          <w:jc w:val="center"/>
        </w:trPr>
        <w:tc>
          <w:tcPr>
            <w:tcW w:w="3480" w:type="dxa"/>
            <w:tcBorders>
              <w:top w:val="nil"/>
              <w:left w:val="single" w:sz="12" w:space="0" w:color="auto"/>
              <w:bottom w:val="nil"/>
              <w:right w:val="single" w:sz="4" w:space="0" w:color="auto"/>
            </w:tcBorders>
            <w:shd w:val="clear" w:color="000000" w:fill="FFFFFF"/>
            <w:noWrap/>
            <w:vAlign w:val="bottom"/>
            <w:hideMark/>
          </w:tcPr>
          <w:p w:rsidR="00315303" w:rsidRPr="00315303" w:rsidRDefault="00315303" w:rsidP="00315303">
            <w:pPr>
              <w:rPr>
                <w:sz w:val="22"/>
                <w:szCs w:val="22"/>
                <w:lang w:val="es-GT" w:eastAsia="es-GT"/>
              </w:rPr>
            </w:pPr>
            <w:r w:rsidRPr="00315303">
              <w:rPr>
                <w:sz w:val="22"/>
                <w:szCs w:val="22"/>
                <w:lang w:val="es-GT" w:eastAsia="es-GT"/>
              </w:rPr>
              <w:t>Organismo Judicial y C.C</w:t>
            </w:r>
          </w:p>
        </w:tc>
        <w:tc>
          <w:tcPr>
            <w:tcW w:w="1500" w:type="dxa"/>
            <w:tcBorders>
              <w:top w:val="nil"/>
              <w:left w:val="nil"/>
              <w:bottom w:val="nil"/>
              <w:right w:val="single" w:sz="4"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3.3%</w:t>
            </w:r>
          </w:p>
        </w:tc>
        <w:tc>
          <w:tcPr>
            <w:tcW w:w="1500" w:type="dxa"/>
            <w:tcBorders>
              <w:top w:val="nil"/>
              <w:left w:val="nil"/>
              <w:bottom w:val="nil"/>
              <w:right w:val="single" w:sz="4"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2.8%</w:t>
            </w:r>
          </w:p>
        </w:tc>
        <w:tc>
          <w:tcPr>
            <w:tcW w:w="1500" w:type="dxa"/>
            <w:tcBorders>
              <w:top w:val="nil"/>
              <w:left w:val="nil"/>
              <w:bottom w:val="nil"/>
              <w:right w:val="single" w:sz="12"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3.5%</w:t>
            </w:r>
          </w:p>
        </w:tc>
      </w:tr>
      <w:tr w:rsidR="00315303" w:rsidRPr="00315303" w:rsidTr="00C34BC3">
        <w:trPr>
          <w:trHeight w:val="315"/>
          <w:jc w:val="center"/>
        </w:trPr>
        <w:tc>
          <w:tcPr>
            <w:tcW w:w="3480" w:type="dxa"/>
            <w:tcBorders>
              <w:top w:val="nil"/>
              <w:left w:val="single" w:sz="12" w:space="0" w:color="auto"/>
              <w:bottom w:val="single" w:sz="12" w:space="0" w:color="auto"/>
              <w:right w:val="single" w:sz="4" w:space="0" w:color="auto"/>
            </w:tcBorders>
            <w:shd w:val="clear" w:color="000000" w:fill="FFFFFF"/>
            <w:noWrap/>
            <w:vAlign w:val="bottom"/>
            <w:hideMark/>
          </w:tcPr>
          <w:p w:rsidR="00315303" w:rsidRPr="00315303" w:rsidRDefault="00315303" w:rsidP="00315303">
            <w:pPr>
              <w:rPr>
                <w:sz w:val="22"/>
                <w:szCs w:val="22"/>
                <w:lang w:val="es-GT" w:eastAsia="es-GT"/>
              </w:rPr>
            </w:pPr>
            <w:r w:rsidRPr="00315303">
              <w:rPr>
                <w:sz w:val="22"/>
                <w:szCs w:val="22"/>
                <w:lang w:val="es-GT" w:eastAsia="es-GT"/>
              </w:rPr>
              <w:t>Ministerio Público</w:t>
            </w:r>
          </w:p>
        </w:tc>
        <w:tc>
          <w:tcPr>
            <w:tcW w:w="1500" w:type="dxa"/>
            <w:tcBorders>
              <w:top w:val="nil"/>
              <w:left w:val="nil"/>
              <w:bottom w:val="single" w:sz="12" w:space="0" w:color="auto"/>
              <w:right w:val="single" w:sz="4"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2.1%</w:t>
            </w:r>
          </w:p>
        </w:tc>
        <w:tc>
          <w:tcPr>
            <w:tcW w:w="1500" w:type="dxa"/>
            <w:tcBorders>
              <w:top w:val="nil"/>
              <w:left w:val="nil"/>
              <w:bottom w:val="single" w:sz="12" w:space="0" w:color="auto"/>
              <w:right w:val="single" w:sz="4"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1.8%</w:t>
            </w:r>
          </w:p>
        </w:tc>
        <w:tc>
          <w:tcPr>
            <w:tcW w:w="1500" w:type="dxa"/>
            <w:tcBorders>
              <w:top w:val="nil"/>
              <w:left w:val="single" w:sz="4" w:space="0" w:color="auto"/>
              <w:bottom w:val="single" w:sz="12" w:space="0" w:color="auto"/>
              <w:right w:val="single" w:sz="12" w:space="0" w:color="auto"/>
            </w:tcBorders>
            <w:shd w:val="clear" w:color="000000" w:fill="FFFFFF"/>
            <w:noWrap/>
            <w:vAlign w:val="center"/>
            <w:hideMark/>
          </w:tcPr>
          <w:p w:rsidR="00315303" w:rsidRPr="00315303" w:rsidRDefault="00315303" w:rsidP="00315303">
            <w:pPr>
              <w:jc w:val="right"/>
              <w:rPr>
                <w:sz w:val="22"/>
                <w:szCs w:val="22"/>
                <w:lang w:val="es-GT" w:eastAsia="es-GT"/>
              </w:rPr>
            </w:pPr>
            <w:r w:rsidRPr="00315303">
              <w:rPr>
                <w:sz w:val="22"/>
                <w:szCs w:val="22"/>
                <w:lang w:val="es-GT" w:eastAsia="es-GT"/>
              </w:rPr>
              <w:t>2.2%</w:t>
            </w:r>
          </w:p>
        </w:tc>
      </w:tr>
    </w:tbl>
    <w:p w:rsidR="004C2E12" w:rsidRPr="003115F3" w:rsidRDefault="004C2E12" w:rsidP="00C34BC3">
      <w:pPr>
        <w:ind w:left="708"/>
        <w:rPr>
          <w:sz w:val="16"/>
          <w:lang w:val="es-MX"/>
        </w:rPr>
      </w:pPr>
      <w:r w:rsidRPr="003115F3">
        <w:rPr>
          <w:sz w:val="16"/>
          <w:lang w:val="es-MX"/>
        </w:rPr>
        <w:t>Fuente: Ministerio de Finanzas Públicas con base al SICOIN.</w:t>
      </w:r>
    </w:p>
    <w:p w:rsidR="004C2E12" w:rsidRDefault="004C2E12" w:rsidP="00C34BC3">
      <w:pPr>
        <w:ind w:left="708"/>
        <w:rPr>
          <w:sz w:val="16"/>
          <w:lang w:val="es-MX"/>
        </w:rPr>
      </w:pPr>
      <w:r w:rsidRPr="003115F3">
        <w:rPr>
          <w:sz w:val="16"/>
          <w:lang w:val="es-MX"/>
        </w:rPr>
        <w:t>* Cifras preliminares</w:t>
      </w:r>
    </w:p>
    <w:p w:rsidR="004C2E12" w:rsidRPr="004C2E12" w:rsidRDefault="004C2E12" w:rsidP="00FB641E">
      <w:pPr>
        <w:rPr>
          <w:sz w:val="16"/>
        </w:rPr>
      </w:pPr>
    </w:p>
    <w:p w:rsidR="004C2E12" w:rsidRPr="003115F3" w:rsidRDefault="004C2E12" w:rsidP="00FB641E">
      <w:pPr>
        <w:rPr>
          <w:sz w:val="16"/>
          <w:lang w:val="es-MX"/>
        </w:rPr>
      </w:pPr>
    </w:p>
    <w:p w:rsidR="00FB641E" w:rsidRPr="00FB641E" w:rsidRDefault="00FB641E" w:rsidP="00FB641E">
      <w:pPr>
        <w:keepNext/>
        <w:keepLines/>
        <w:numPr>
          <w:ilvl w:val="2"/>
          <w:numId w:val="5"/>
        </w:numPr>
        <w:spacing w:before="200"/>
        <w:outlineLvl w:val="2"/>
        <w:rPr>
          <w:b/>
          <w:bCs/>
          <w:lang w:val="es-MX"/>
        </w:rPr>
      </w:pPr>
      <w:bookmarkStart w:id="14" w:name="_Toc460422674"/>
      <w:r w:rsidRPr="00FB641E">
        <w:rPr>
          <w:b/>
          <w:bCs/>
          <w:lang w:val="es-MX"/>
        </w:rPr>
        <w:t xml:space="preserve">Gasto </w:t>
      </w:r>
      <w:r w:rsidR="008438D3">
        <w:rPr>
          <w:b/>
          <w:bCs/>
          <w:lang w:val="es-MX"/>
        </w:rPr>
        <w:t>E</w:t>
      </w:r>
      <w:r w:rsidRPr="00FB641E">
        <w:rPr>
          <w:b/>
          <w:bCs/>
          <w:lang w:val="es-MX"/>
        </w:rPr>
        <w:t xml:space="preserve">jecutado a través de </w:t>
      </w:r>
      <w:r w:rsidR="008438D3">
        <w:rPr>
          <w:b/>
          <w:bCs/>
          <w:lang w:val="es-MX"/>
        </w:rPr>
        <w:t>F</w:t>
      </w:r>
      <w:r w:rsidRPr="00FB641E">
        <w:rPr>
          <w:b/>
          <w:bCs/>
          <w:lang w:val="es-MX"/>
        </w:rPr>
        <w:t>ideicomisos</w:t>
      </w:r>
      <w:r w:rsidR="00401389">
        <w:rPr>
          <w:rStyle w:val="Refdenotaalpie"/>
          <w:b/>
          <w:bCs/>
          <w:lang w:val="es-MX"/>
        </w:rPr>
        <w:footnoteReference w:id="5"/>
      </w:r>
      <w:bookmarkEnd w:id="14"/>
    </w:p>
    <w:p w:rsidR="00FB641E" w:rsidRPr="00FB641E" w:rsidRDefault="00FB641E" w:rsidP="00FB641E">
      <w:pPr>
        <w:jc w:val="both"/>
        <w:rPr>
          <w:lang w:val="es-MX"/>
        </w:rPr>
      </w:pPr>
    </w:p>
    <w:p w:rsidR="00FB641E" w:rsidRPr="00FB641E" w:rsidRDefault="00FB641E" w:rsidP="00FB641E">
      <w:pPr>
        <w:jc w:val="both"/>
        <w:rPr>
          <w:lang w:val="es-MX"/>
        </w:rPr>
      </w:pPr>
      <w:r w:rsidRPr="00FB641E">
        <w:rPr>
          <w:lang w:val="es-MX"/>
        </w:rPr>
        <w:t xml:space="preserve">Al 30 de junio de 2016, la ejecución del gasto </w:t>
      </w:r>
      <w:r w:rsidR="00333AB5">
        <w:rPr>
          <w:lang w:val="es-MX"/>
        </w:rPr>
        <w:t xml:space="preserve">por medio </w:t>
      </w:r>
      <w:r w:rsidRPr="00FB641E">
        <w:rPr>
          <w:lang w:val="es-MX"/>
        </w:rPr>
        <w:t>de fideicomisos alcanzó la cifra de Q388.1 millones, lo que representa un 1.4% de la ejecución presupuestaria total, inferior en Q588.4 millones con respecto a la ejecución de esta modalidad en 2015, la cual representó el 3.1% de la ejecución total de ese año</w:t>
      </w:r>
      <w:r w:rsidR="00333AB5">
        <w:rPr>
          <w:lang w:val="es-MX"/>
        </w:rPr>
        <w:t>.</w:t>
      </w:r>
      <w:r w:rsidRPr="00FB641E">
        <w:rPr>
          <w:lang w:val="es-MX"/>
        </w:rPr>
        <w:t xml:space="preserve"> </w:t>
      </w:r>
      <w:r w:rsidR="00333AB5">
        <w:rPr>
          <w:lang w:val="es-MX"/>
        </w:rPr>
        <w:t>L</w:t>
      </w:r>
      <w:r w:rsidRPr="00FB641E">
        <w:rPr>
          <w:lang w:val="es-MX"/>
        </w:rPr>
        <w:t>a disminución obedece</w:t>
      </w:r>
      <w:r w:rsidR="00333AB5">
        <w:rPr>
          <w:lang w:val="es-MX"/>
        </w:rPr>
        <w:t>,</w:t>
      </w:r>
      <w:r w:rsidRPr="00FB641E">
        <w:rPr>
          <w:lang w:val="es-MX"/>
        </w:rPr>
        <w:t xml:space="preserve"> principalmente</w:t>
      </w:r>
      <w:r w:rsidR="00333AB5">
        <w:rPr>
          <w:lang w:val="es-MX"/>
        </w:rPr>
        <w:t>,</w:t>
      </w:r>
      <w:r w:rsidRPr="00FB641E">
        <w:rPr>
          <w:lang w:val="es-MX"/>
        </w:rPr>
        <w:t xml:space="preserve"> a que los fideicomisos están financiados en su mayoría con fuente 21 “Ingresos tributarios IVA-Paz” cuyas cuotas de compromiso y devengado se aprueban de conformidad con el nivel de recaudación de los ingresos tributarios; asimismo, el Fondo Nacional de Desarrollo (FONADES) y el Fondo de Desarrollo Indígena Guatemalteco (FODIGUA) entraron en etapa de liquidación</w:t>
      </w:r>
      <w:r w:rsidR="00333AB5">
        <w:rPr>
          <w:lang w:val="es-MX"/>
        </w:rPr>
        <w:t>,</w:t>
      </w:r>
      <w:r w:rsidRPr="00FB641E">
        <w:rPr>
          <w:lang w:val="es-MX"/>
        </w:rPr>
        <w:t xml:space="preserve"> por lo que no cuentan con presupuesto de egresos vigente.</w:t>
      </w:r>
    </w:p>
    <w:p w:rsidR="00FB641E" w:rsidRPr="00FB641E" w:rsidRDefault="00FB641E" w:rsidP="00FB641E">
      <w:pPr>
        <w:jc w:val="both"/>
        <w:rPr>
          <w:sz w:val="28"/>
          <w:lang w:val="es-MX"/>
        </w:rPr>
      </w:pPr>
    </w:p>
    <w:p w:rsidR="00FB641E" w:rsidRPr="00FB641E" w:rsidRDefault="00FB641E" w:rsidP="00FB641E">
      <w:pPr>
        <w:jc w:val="both"/>
      </w:pPr>
    </w:p>
    <w:p w:rsidR="00FB641E" w:rsidRDefault="00FB641E" w:rsidP="00FB641E">
      <w:pPr>
        <w:jc w:val="both"/>
        <w:rPr>
          <w:lang w:val="es-MX"/>
        </w:rPr>
      </w:pPr>
    </w:p>
    <w:p w:rsidR="008438D3" w:rsidRDefault="008438D3" w:rsidP="00FB641E">
      <w:pPr>
        <w:jc w:val="both"/>
        <w:rPr>
          <w:lang w:val="es-MX"/>
        </w:rPr>
      </w:pPr>
    </w:p>
    <w:p w:rsidR="008438D3" w:rsidRDefault="008438D3" w:rsidP="00FB641E">
      <w:pPr>
        <w:jc w:val="both"/>
        <w:rPr>
          <w:lang w:val="es-MX"/>
        </w:rPr>
      </w:pPr>
    </w:p>
    <w:p w:rsidR="008438D3" w:rsidRDefault="008438D3" w:rsidP="00FB641E">
      <w:pPr>
        <w:jc w:val="both"/>
        <w:rPr>
          <w:lang w:val="es-MX"/>
        </w:rPr>
      </w:pPr>
    </w:p>
    <w:p w:rsidR="008438D3" w:rsidRPr="00FB641E" w:rsidRDefault="008438D3" w:rsidP="00FB641E">
      <w:pPr>
        <w:jc w:val="both"/>
        <w:rPr>
          <w:lang w:val="es-MX"/>
        </w:rPr>
      </w:pPr>
    </w:p>
    <w:p w:rsidR="00FB641E" w:rsidRPr="00FB641E" w:rsidRDefault="00FB641E" w:rsidP="00FB641E">
      <w:pPr>
        <w:jc w:val="center"/>
        <w:rPr>
          <w:b/>
          <w:sz w:val="22"/>
          <w:lang w:val="es-MX"/>
        </w:rPr>
      </w:pPr>
      <w:r w:rsidRPr="00FB641E">
        <w:rPr>
          <w:b/>
          <w:sz w:val="22"/>
          <w:lang w:val="es-MX"/>
        </w:rPr>
        <w:t xml:space="preserve">Cuadro </w:t>
      </w:r>
      <w:r w:rsidR="00D04D9F">
        <w:rPr>
          <w:b/>
          <w:sz w:val="22"/>
          <w:lang w:val="es-MX"/>
        </w:rPr>
        <w:t>7</w:t>
      </w:r>
    </w:p>
    <w:p w:rsidR="00FB641E" w:rsidRPr="00FB641E" w:rsidRDefault="00FB641E" w:rsidP="00FB641E">
      <w:pPr>
        <w:jc w:val="center"/>
        <w:rPr>
          <w:b/>
          <w:sz w:val="22"/>
          <w:lang w:val="es-MX"/>
        </w:rPr>
      </w:pPr>
      <w:r w:rsidRPr="00FB641E">
        <w:rPr>
          <w:b/>
          <w:sz w:val="22"/>
          <w:lang w:val="es-MX"/>
        </w:rPr>
        <w:t>Ejecución Presupuestaria a través de Fideicomisos</w:t>
      </w:r>
    </w:p>
    <w:p w:rsidR="00FB641E" w:rsidRPr="008438D3" w:rsidRDefault="00FB641E" w:rsidP="00FB641E">
      <w:pPr>
        <w:jc w:val="center"/>
        <w:rPr>
          <w:i/>
          <w:sz w:val="22"/>
          <w:lang w:val="es-MX"/>
        </w:rPr>
      </w:pPr>
      <w:r w:rsidRPr="008438D3">
        <w:rPr>
          <w:i/>
          <w:sz w:val="22"/>
          <w:lang w:val="es-MX"/>
        </w:rPr>
        <w:t>Al 30 de junio de cada año</w:t>
      </w:r>
    </w:p>
    <w:p w:rsidR="00FB641E" w:rsidRDefault="00FB641E" w:rsidP="00FB641E">
      <w:pPr>
        <w:jc w:val="center"/>
        <w:rPr>
          <w:i/>
          <w:sz w:val="22"/>
          <w:lang w:val="es-MX"/>
        </w:rPr>
      </w:pPr>
      <w:r w:rsidRPr="008438D3">
        <w:rPr>
          <w:i/>
          <w:sz w:val="22"/>
          <w:lang w:val="es-MX"/>
        </w:rPr>
        <w:t>(Cifras en Millones de Quetzales)</w:t>
      </w:r>
    </w:p>
    <w:tbl>
      <w:tblPr>
        <w:tblW w:w="9087" w:type="dxa"/>
        <w:tblInd w:w="55" w:type="dxa"/>
        <w:tblLayout w:type="fixed"/>
        <w:tblCellMar>
          <w:left w:w="70" w:type="dxa"/>
          <w:right w:w="70" w:type="dxa"/>
        </w:tblCellMar>
        <w:tblLook w:val="04A0" w:firstRow="1" w:lastRow="0" w:firstColumn="1" w:lastColumn="0" w:noHBand="0" w:noVBand="1"/>
      </w:tblPr>
      <w:tblGrid>
        <w:gridCol w:w="4268"/>
        <w:gridCol w:w="1134"/>
        <w:gridCol w:w="1134"/>
        <w:gridCol w:w="1276"/>
        <w:gridCol w:w="1275"/>
      </w:tblGrid>
      <w:tr w:rsidR="000E3F15" w:rsidRPr="000E3F15" w:rsidTr="00DE6416">
        <w:trPr>
          <w:trHeight w:val="255"/>
        </w:trPr>
        <w:tc>
          <w:tcPr>
            <w:tcW w:w="4268" w:type="dxa"/>
            <w:vMerge w:val="restart"/>
            <w:tcBorders>
              <w:top w:val="single" w:sz="12" w:space="0" w:color="auto"/>
              <w:left w:val="single" w:sz="12" w:space="0" w:color="auto"/>
              <w:bottom w:val="single" w:sz="12" w:space="0" w:color="000000"/>
              <w:right w:val="single" w:sz="4" w:space="0" w:color="auto"/>
            </w:tcBorders>
            <w:shd w:val="clear" w:color="000000" w:fill="8DB4E2"/>
            <w:vAlign w:val="center"/>
            <w:hideMark/>
          </w:tcPr>
          <w:p w:rsidR="000E3F15" w:rsidRPr="000E3F15" w:rsidRDefault="000E3F15" w:rsidP="000E3F15">
            <w:pPr>
              <w:jc w:val="center"/>
              <w:rPr>
                <w:b/>
                <w:bCs/>
                <w:sz w:val="22"/>
                <w:szCs w:val="22"/>
                <w:lang w:val="es-GT" w:eastAsia="es-GT"/>
              </w:rPr>
            </w:pPr>
            <w:r w:rsidRPr="000E3F15">
              <w:rPr>
                <w:b/>
                <w:bCs/>
                <w:sz w:val="22"/>
                <w:szCs w:val="22"/>
                <w:lang w:val="es-GT" w:eastAsia="es-GT"/>
              </w:rPr>
              <w:t>Descripción</w:t>
            </w:r>
          </w:p>
        </w:tc>
        <w:tc>
          <w:tcPr>
            <w:tcW w:w="1134" w:type="dxa"/>
            <w:vMerge w:val="restart"/>
            <w:tcBorders>
              <w:top w:val="single" w:sz="12" w:space="0" w:color="auto"/>
              <w:left w:val="single" w:sz="4" w:space="0" w:color="auto"/>
              <w:bottom w:val="single" w:sz="12" w:space="0" w:color="000000"/>
              <w:right w:val="single" w:sz="4" w:space="0" w:color="auto"/>
            </w:tcBorders>
            <w:shd w:val="clear" w:color="000000" w:fill="8DB4E2"/>
            <w:vAlign w:val="center"/>
            <w:hideMark/>
          </w:tcPr>
          <w:p w:rsidR="000E3F15" w:rsidRPr="000E3F15" w:rsidRDefault="000E3F15" w:rsidP="000E3F15">
            <w:pPr>
              <w:jc w:val="center"/>
              <w:rPr>
                <w:b/>
                <w:bCs/>
                <w:sz w:val="22"/>
                <w:szCs w:val="22"/>
                <w:lang w:val="es-GT" w:eastAsia="es-GT"/>
              </w:rPr>
            </w:pPr>
            <w:r w:rsidRPr="000E3F15">
              <w:rPr>
                <w:b/>
                <w:bCs/>
                <w:sz w:val="22"/>
                <w:szCs w:val="22"/>
                <w:lang w:val="es-GT" w:eastAsia="es-GT"/>
              </w:rPr>
              <w:t>2015</w:t>
            </w:r>
          </w:p>
        </w:tc>
        <w:tc>
          <w:tcPr>
            <w:tcW w:w="1134" w:type="dxa"/>
            <w:vMerge w:val="restart"/>
            <w:tcBorders>
              <w:top w:val="single" w:sz="12" w:space="0" w:color="auto"/>
              <w:left w:val="single" w:sz="4" w:space="0" w:color="auto"/>
              <w:bottom w:val="single" w:sz="12" w:space="0" w:color="000000"/>
              <w:right w:val="single" w:sz="4" w:space="0" w:color="auto"/>
            </w:tcBorders>
            <w:shd w:val="clear" w:color="000000" w:fill="8DB4E2"/>
            <w:vAlign w:val="center"/>
            <w:hideMark/>
          </w:tcPr>
          <w:p w:rsidR="000E3F15" w:rsidRPr="000E3F15" w:rsidRDefault="000E3F15" w:rsidP="000E3F15">
            <w:pPr>
              <w:jc w:val="center"/>
              <w:rPr>
                <w:b/>
                <w:bCs/>
                <w:sz w:val="22"/>
                <w:szCs w:val="22"/>
                <w:lang w:val="es-GT" w:eastAsia="es-GT"/>
              </w:rPr>
            </w:pPr>
            <w:r w:rsidRPr="000E3F15">
              <w:rPr>
                <w:b/>
                <w:bCs/>
                <w:sz w:val="22"/>
                <w:szCs w:val="22"/>
                <w:lang w:val="es-GT" w:eastAsia="es-GT"/>
              </w:rPr>
              <w:t>2016</w:t>
            </w:r>
          </w:p>
        </w:tc>
        <w:tc>
          <w:tcPr>
            <w:tcW w:w="2551" w:type="dxa"/>
            <w:gridSpan w:val="2"/>
            <w:tcBorders>
              <w:top w:val="single" w:sz="12" w:space="0" w:color="auto"/>
              <w:left w:val="nil"/>
              <w:bottom w:val="single" w:sz="4" w:space="0" w:color="auto"/>
              <w:right w:val="single" w:sz="12" w:space="0" w:color="000000"/>
            </w:tcBorders>
            <w:shd w:val="clear" w:color="000000" w:fill="8DB4E2"/>
            <w:noWrap/>
            <w:vAlign w:val="bottom"/>
            <w:hideMark/>
          </w:tcPr>
          <w:p w:rsidR="000E3F15" w:rsidRPr="000E3F15" w:rsidRDefault="000E3F15" w:rsidP="005D5780">
            <w:pPr>
              <w:jc w:val="center"/>
              <w:rPr>
                <w:b/>
                <w:bCs/>
                <w:sz w:val="22"/>
                <w:szCs w:val="22"/>
                <w:lang w:val="es-GT" w:eastAsia="es-GT"/>
              </w:rPr>
            </w:pPr>
            <w:r w:rsidRPr="000E3F15">
              <w:rPr>
                <w:b/>
                <w:bCs/>
                <w:sz w:val="22"/>
                <w:szCs w:val="22"/>
                <w:lang w:val="es-GT" w:eastAsia="es-GT"/>
              </w:rPr>
              <w:t>Diferencias 2016-2015</w:t>
            </w:r>
          </w:p>
        </w:tc>
      </w:tr>
      <w:tr w:rsidR="005F1E18" w:rsidRPr="000E3F15" w:rsidTr="00DE6416">
        <w:trPr>
          <w:trHeight w:val="270"/>
        </w:trPr>
        <w:tc>
          <w:tcPr>
            <w:tcW w:w="4268" w:type="dxa"/>
            <w:vMerge/>
            <w:tcBorders>
              <w:top w:val="single" w:sz="12" w:space="0" w:color="auto"/>
              <w:left w:val="single" w:sz="12" w:space="0" w:color="auto"/>
              <w:bottom w:val="single" w:sz="12" w:space="0" w:color="000000"/>
              <w:right w:val="single" w:sz="4" w:space="0" w:color="auto"/>
            </w:tcBorders>
            <w:vAlign w:val="center"/>
            <w:hideMark/>
          </w:tcPr>
          <w:p w:rsidR="000E3F15" w:rsidRPr="000E3F15" w:rsidRDefault="000E3F15" w:rsidP="000E3F15">
            <w:pPr>
              <w:rPr>
                <w:b/>
                <w:bCs/>
                <w:sz w:val="22"/>
                <w:szCs w:val="22"/>
                <w:lang w:val="es-GT" w:eastAsia="es-GT"/>
              </w:rPr>
            </w:pPr>
          </w:p>
        </w:tc>
        <w:tc>
          <w:tcPr>
            <w:tcW w:w="1134" w:type="dxa"/>
            <w:vMerge/>
            <w:tcBorders>
              <w:top w:val="single" w:sz="12" w:space="0" w:color="auto"/>
              <w:left w:val="single" w:sz="4" w:space="0" w:color="auto"/>
              <w:bottom w:val="single" w:sz="12" w:space="0" w:color="000000"/>
              <w:right w:val="single" w:sz="4" w:space="0" w:color="auto"/>
            </w:tcBorders>
            <w:vAlign w:val="center"/>
            <w:hideMark/>
          </w:tcPr>
          <w:p w:rsidR="000E3F15" w:rsidRPr="000E3F15" w:rsidRDefault="000E3F15" w:rsidP="000E3F15">
            <w:pPr>
              <w:rPr>
                <w:b/>
                <w:bCs/>
                <w:sz w:val="22"/>
                <w:szCs w:val="22"/>
                <w:lang w:val="es-GT" w:eastAsia="es-GT"/>
              </w:rPr>
            </w:pPr>
          </w:p>
        </w:tc>
        <w:tc>
          <w:tcPr>
            <w:tcW w:w="1134" w:type="dxa"/>
            <w:vMerge/>
            <w:tcBorders>
              <w:top w:val="single" w:sz="12" w:space="0" w:color="auto"/>
              <w:left w:val="single" w:sz="4" w:space="0" w:color="auto"/>
              <w:bottom w:val="single" w:sz="12" w:space="0" w:color="000000"/>
              <w:right w:val="single" w:sz="4" w:space="0" w:color="auto"/>
            </w:tcBorders>
            <w:vAlign w:val="center"/>
            <w:hideMark/>
          </w:tcPr>
          <w:p w:rsidR="000E3F15" w:rsidRPr="000E3F15" w:rsidRDefault="000E3F15" w:rsidP="000E3F15">
            <w:pPr>
              <w:rPr>
                <w:b/>
                <w:bCs/>
                <w:sz w:val="22"/>
                <w:szCs w:val="22"/>
                <w:lang w:val="es-GT" w:eastAsia="es-GT"/>
              </w:rPr>
            </w:pPr>
          </w:p>
        </w:tc>
        <w:tc>
          <w:tcPr>
            <w:tcW w:w="1276" w:type="dxa"/>
            <w:tcBorders>
              <w:top w:val="nil"/>
              <w:left w:val="nil"/>
              <w:bottom w:val="single" w:sz="12" w:space="0" w:color="auto"/>
              <w:right w:val="single" w:sz="4" w:space="0" w:color="auto"/>
            </w:tcBorders>
            <w:shd w:val="clear" w:color="000000" w:fill="8DB4E2"/>
            <w:noWrap/>
            <w:vAlign w:val="bottom"/>
            <w:hideMark/>
          </w:tcPr>
          <w:p w:rsidR="000E3F15" w:rsidRPr="000E3F15" w:rsidRDefault="000E3F15" w:rsidP="000E3F15">
            <w:pPr>
              <w:jc w:val="center"/>
              <w:rPr>
                <w:b/>
                <w:bCs/>
                <w:sz w:val="22"/>
                <w:szCs w:val="22"/>
                <w:lang w:val="es-GT" w:eastAsia="es-GT"/>
              </w:rPr>
            </w:pPr>
            <w:r w:rsidRPr="000E3F15">
              <w:rPr>
                <w:b/>
                <w:bCs/>
                <w:sz w:val="22"/>
                <w:szCs w:val="22"/>
                <w:lang w:val="es-GT" w:eastAsia="es-GT"/>
              </w:rPr>
              <w:t>Absolutas</w:t>
            </w:r>
          </w:p>
        </w:tc>
        <w:tc>
          <w:tcPr>
            <w:tcW w:w="1275" w:type="dxa"/>
            <w:tcBorders>
              <w:top w:val="nil"/>
              <w:left w:val="single" w:sz="4" w:space="0" w:color="auto"/>
              <w:bottom w:val="single" w:sz="12" w:space="0" w:color="auto"/>
              <w:right w:val="single" w:sz="12" w:space="0" w:color="auto"/>
            </w:tcBorders>
            <w:shd w:val="clear" w:color="000000" w:fill="8DB4E2"/>
            <w:noWrap/>
            <w:vAlign w:val="bottom"/>
            <w:hideMark/>
          </w:tcPr>
          <w:p w:rsidR="000E3F15" w:rsidRPr="000E3F15" w:rsidRDefault="000E3F15" w:rsidP="000E3F15">
            <w:pPr>
              <w:jc w:val="center"/>
              <w:rPr>
                <w:b/>
                <w:bCs/>
                <w:sz w:val="22"/>
                <w:szCs w:val="22"/>
                <w:lang w:val="es-GT" w:eastAsia="es-GT"/>
              </w:rPr>
            </w:pPr>
            <w:r w:rsidRPr="000E3F15">
              <w:rPr>
                <w:b/>
                <w:bCs/>
                <w:sz w:val="22"/>
                <w:szCs w:val="22"/>
                <w:lang w:val="es-GT" w:eastAsia="es-GT"/>
              </w:rPr>
              <w:t>Relativas</w:t>
            </w:r>
          </w:p>
        </w:tc>
      </w:tr>
      <w:tr w:rsidR="00DE6416" w:rsidRPr="000E3F15" w:rsidTr="00DE6416">
        <w:trPr>
          <w:trHeight w:val="330"/>
        </w:trPr>
        <w:tc>
          <w:tcPr>
            <w:tcW w:w="4268" w:type="dxa"/>
            <w:tcBorders>
              <w:top w:val="nil"/>
              <w:left w:val="single" w:sz="12" w:space="0" w:color="auto"/>
              <w:bottom w:val="nil"/>
              <w:right w:val="single" w:sz="4" w:space="0" w:color="auto"/>
            </w:tcBorders>
            <w:shd w:val="clear" w:color="000000" w:fill="auto"/>
            <w:vAlign w:val="bottom"/>
            <w:hideMark/>
          </w:tcPr>
          <w:p w:rsidR="000E3F15" w:rsidRPr="000E3F15" w:rsidRDefault="000E3F15" w:rsidP="000E3F15">
            <w:pPr>
              <w:jc w:val="center"/>
              <w:rPr>
                <w:b/>
                <w:bCs/>
                <w:sz w:val="22"/>
                <w:szCs w:val="22"/>
                <w:lang w:val="es-GT" w:eastAsia="es-GT"/>
              </w:rPr>
            </w:pPr>
            <w:r w:rsidRPr="000E3F15">
              <w:rPr>
                <w:b/>
                <w:bCs/>
                <w:sz w:val="22"/>
                <w:szCs w:val="22"/>
                <w:lang w:val="es-GT" w:eastAsia="es-GT"/>
              </w:rPr>
              <w:t>Total</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b/>
                <w:bCs/>
                <w:sz w:val="22"/>
                <w:szCs w:val="22"/>
                <w:lang w:val="es-GT" w:eastAsia="es-GT"/>
              </w:rPr>
            </w:pPr>
            <w:r w:rsidRPr="000E3F15">
              <w:rPr>
                <w:b/>
                <w:bCs/>
                <w:sz w:val="22"/>
                <w:szCs w:val="22"/>
                <w:lang w:val="es-GT" w:eastAsia="es-GT"/>
              </w:rPr>
              <w:t>976.4</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b/>
                <w:bCs/>
                <w:sz w:val="22"/>
                <w:szCs w:val="22"/>
                <w:lang w:val="es-GT" w:eastAsia="es-GT"/>
              </w:rPr>
            </w:pPr>
            <w:r w:rsidRPr="000E3F15">
              <w:rPr>
                <w:b/>
                <w:bCs/>
                <w:sz w:val="22"/>
                <w:szCs w:val="22"/>
                <w:lang w:val="es-GT" w:eastAsia="es-GT"/>
              </w:rPr>
              <w:t>388.1</w:t>
            </w:r>
          </w:p>
        </w:tc>
        <w:tc>
          <w:tcPr>
            <w:tcW w:w="1276" w:type="dxa"/>
            <w:tcBorders>
              <w:top w:val="nil"/>
              <w:left w:val="nil"/>
              <w:bottom w:val="nil"/>
              <w:right w:val="single" w:sz="4" w:space="0" w:color="auto"/>
            </w:tcBorders>
            <w:shd w:val="clear" w:color="000000" w:fill="FFFFFF"/>
            <w:noWrap/>
            <w:vAlign w:val="bottom"/>
            <w:hideMark/>
          </w:tcPr>
          <w:p w:rsidR="000E3F15" w:rsidRPr="000E3F15" w:rsidRDefault="000E3F15" w:rsidP="000E3F15">
            <w:pPr>
              <w:jc w:val="center"/>
              <w:rPr>
                <w:b/>
                <w:bCs/>
                <w:sz w:val="22"/>
                <w:szCs w:val="22"/>
                <w:lang w:val="es-GT" w:eastAsia="es-GT"/>
              </w:rPr>
            </w:pPr>
            <w:r w:rsidRPr="000E3F15">
              <w:rPr>
                <w:b/>
                <w:bCs/>
                <w:sz w:val="22"/>
                <w:szCs w:val="22"/>
                <w:lang w:val="es-GT" w:eastAsia="es-GT"/>
              </w:rPr>
              <w:t>-588.4</w:t>
            </w:r>
          </w:p>
        </w:tc>
        <w:tc>
          <w:tcPr>
            <w:tcW w:w="1275" w:type="dxa"/>
            <w:tcBorders>
              <w:top w:val="nil"/>
              <w:left w:val="nil"/>
              <w:bottom w:val="nil"/>
              <w:right w:val="single" w:sz="12" w:space="0" w:color="auto"/>
            </w:tcBorders>
            <w:shd w:val="clear" w:color="auto" w:fill="auto"/>
            <w:noWrap/>
            <w:vAlign w:val="bottom"/>
            <w:hideMark/>
          </w:tcPr>
          <w:p w:rsidR="000E3F15" w:rsidRPr="000E3F15" w:rsidRDefault="000E3F15" w:rsidP="000E3F15">
            <w:pPr>
              <w:jc w:val="right"/>
              <w:rPr>
                <w:b/>
                <w:bCs/>
                <w:sz w:val="22"/>
                <w:szCs w:val="22"/>
                <w:lang w:val="es-GT" w:eastAsia="es-GT"/>
              </w:rPr>
            </w:pPr>
            <w:r w:rsidRPr="000E3F15">
              <w:rPr>
                <w:b/>
                <w:bCs/>
                <w:sz w:val="22"/>
                <w:szCs w:val="22"/>
                <w:lang w:val="es-GT" w:eastAsia="es-GT"/>
              </w:rPr>
              <w:t>-60.3%</w:t>
            </w:r>
          </w:p>
        </w:tc>
      </w:tr>
      <w:tr w:rsidR="00DE6416" w:rsidRPr="000E3F15" w:rsidTr="005F1E18">
        <w:trPr>
          <w:trHeight w:val="447"/>
        </w:trPr>
        <w:tc>
          <w:tcPr>
            <w:tcW w:w="4268" w:type="dxa"/>
            <w:tcBorders>
              <w:top w:val="nil"/>
              <w:left w:val="single" w:sz="12" w:space="0" w:color="auto"/>
              <w:bottom w:val="nil"/>
              <w:right w:val="single" w:sz="4" w:space="0" w:color="auto"/>
            </w:tcBorders>
            <w:shd w:val="clear" w:color="000000" w:fill="auto"/>
            <w:hideMark/>
          </w:tcPr>
          <w:p w:rsidR="000E3F15" w:rsidRPr="000E3F15" w:rsidRDefault="000E3F15" w:rsidP="000E3F15">
            <w:pPr>
              <w:rPr>
                <w:sz w:val="22"/>
                <w:szCs w:val="22"/>
                <w:lang w:val="es-GT" w:eastAsia="es-GT"/>
              </w:rPr>
            </w:pPr>
            <w:r w:rsidRPr="000E3F15">
              <w:rPr>
                <w:sz w:val="22"/>
                <w:szCs w:val="22"/>
                <w:lang w:val="es-GT" w:eastAsia="es-GT"/>
              </w:rPr>
              <w:t xml:space="preserve">Fondo Nacional para la Conservación de la Naturaleza </w:t>
            </w:r>
          </w:p>
        </w:tc>
        <w:tc>
          <w:tcPr>
            <w:tcW w:w="1134" w:type="dxa"/>
            <w:tcBorders>
              <w:top w:val="nil"/>
              <w:left w:val="nil"/>
              <w:bottom w:val="nil"/>
              <w:right w:val="single" w:sz="4" w:space="0" w:color="auto"/>
            </w:tcBorders>
            <w:shd w:val="clear" w:color="000000" w:fill="auto"/>
            <w:vAlign w:val="center"/>
            <w:hideMark/>
          </w:tcPr>
          <w:p w:rsidR="000E3F15" w:rsidRPr="000E3F15" w:rsidRDefault="000E3F15" w:rsidP="000E3F15">
            <w:pPr>
              <w:jc w:val="center"/>
              <w:rPr>
                <w:sz w:val="22"/>
                <w:szCs w:val="22"/>
                <w:lang w:val="es-GT" w:eastAsia="es-GT"/>
              </w:rPr>
            </w:pPr>
            <w:r w:rsidRPr="000E3F15">
              <w:rPr>
                <w:sz w:val="22"/>
                <w:szCs w:val="22"/>
                <w:lang w:val="es-GT" w:eastAsia="es-GT"/>
              </w:rPr>
              <w:t>2.0</w:t>
            </w:r>
          </w:p>
        </w:tc>
        <w:tc>
          <w:tcPr>
            <w:tcW w:w="1134" w:type="dxa"/>
            <w:tcBorders>
              <w:top w:val="nil"/>
              <w:left w:val="nil"/>
              <w:bottom w:val="nil"/>
              <w:right w:val="single" w:sz="4" w:space="0" w:color="auto"/>
            </w:tcBorders>
            <w:shd w:val="clear" w:color="000000" w:fill="auto"/>
            <w:vAlign w:val="center"/>
            <w:hideMark/>
          </w:tcPr>
          <w:p w:rsidR="000E3F15" w:rsidRPr="000E3F15" w:rsidRDefault="000E3F15" w:rsidP="000E3F15">
            <w:pPr>
              <w:jc w:val="center"/>
              <w:rPr>
                <w:sz w:val="22"/>
                <w:szCs w:val="22"/>
                <w:lang w:val="es-GT" w:eastAsia="es-GT"/>
              </w:rPr>
            </w:pPr>
            <w:r w:rsidRPr="000E3F15">
              <w:rPr>
                <w:sz w:val="22"/>
                <w:szCs w:val="22"/>
                <w:lang w:val="es-GT" w:eastAsia="es-GT"/>
              </w:rPr>
              <w:t>1.0</w:t>
            </w:r>
          </w:p>
        </w:tc>
        <w:tc>
          <w:tcPr>
            <w:tcW w:w="1276"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center"/>
              <w:rPr>
                <w:sz w:val="22"/>
                <w:szCs w:val="22"/>
                <w:lang w:val="es-GT" w:eastAsia="es-GT"/>
              </w:rPr>
            </w:pPr>
            <w:r w:rsidRPr="000E3F15">
              <w:rPr>
                <w:sz w:val="22"/>
                <w:szCs w:val="22"/>
                <w:lang w:val="es-GT" w:eastAsia="es-GT"/>
              </w:rPr>
              <w:t>-1.0</w:t>
            </w:r>
          </w:p>
        </w:tc>
        <w:tc>
          <w:tcPr>
            <w:tcW w:w="1275" w:type="dxa"/>
            <w:tcBorders>
              <w:top w:val="nil"/>
              <w:left w:val="nil"/>
              <w:bottom w:val="nil"/>
              <w:right w:val="single" w:sz="12" w:space="0" w:color="auto"/>
            </w:tcBorders>
            <w:shd w:val="clear" w:color="auto" w:fill="auto"/>
            <w:noWrap/>
            <w:vAlign w:val="center"/>
            <w:hideMark/>
          </w:tcPr>
          <w:p w:rsidR="000E3F15" w:rsidRPr="000E3F15" w:rsidRDefault="000E3F15" w:rsidP="005F1E18">
            <w:pPr>
              <w:jc w:val="right"/>
              <w:rPr>
                <w:sz w:val="22"/>
                <w:szCs w:val="22"/>
                <w:lang w:val="es-GT" w:eastAsia="es-GT"/>
              </w:rPr>
            </w:pPr>
            <w:r w:rsidRPr="000E3F15">
              <w:rPr>
                <w:sz w:val="22"/>
                <w:szCs w:val="22"/>
                <w:lang w:val="es-GT" w:eastAsia="es-GT"/>
              </w:rPr>
              <w:t>-49.6%</w:t>
            </w:r>
          </w:p>
        </w:tc>
      </w:tr>
      <w:tr w:rsidR="00DE6416" w:rsidRPr="000E3F15" w:rsidTr="005F1E18">
        <w:trPr>
          <w:trHeight w:val="86"/>
        </w:trPr>
        <w:tc>
          <w:tcPr>
            <w:tcW w:w="4268" w:type="dxa"/>
            <w:tcBorders>
              <w:top w:val="nil"/>
              <w:left w:val="single" w:sz="12" w:space="0" w:color="auto"/>
              <w:bottom w:val="nil"/>
              <w:right w:val="single" w:sz="4" w:space="0" w:color="auto"/>
            </w:tcBorders>
            <w:shd w:val="clear" w:color="000000" w:fill="auto"/>
            <w:vAlign w:val="bottom"/>
            <w:hideMark/>
          </w:tcPr>
          <w:p w:rsidR="000E3F15" w:rsidRPr="000E3F15" w:rsidRDefault="000E3F15" w:rsidP="000E3F15">
            <w:pPr>
              <w:rPr>
                <w:sz w:val="22"/>
                <w:szCs w:val="22"/>
                <w:lang w:val="es-GT" w:eastAsia="es-GT"/>
              </w:rPr>
            </w:pPr>
            <w:r w:rsidRPr="000E3F15">
              <w:rPr>
                <w:sz w:val="22"/>
                <w:szCs w:val="22"/>
                <w:lang w:val="es-GT" w:eastAsia="es-GT"/>
              </w:rPr>
              <w:t>Fideicomiso del Fondo Vial</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288.8</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195.4</w:t>
            </w:r>
          </w:p>
        </w:tc>
        <w:tc>
          <w:tcPr>
            <w:tcW w:w="1276" w:type="dxa"/>
            <w:tcBorders>
              <w:top w:val="nil"/>
              <w:left w:val="nil"/>
              <w:bottom w:val="nil"/>
              <w:right w:val="single" w:sz="4" w:space="0" w:color="auto"/>
            </w:tcBorders>
            <w:shd w:val="clear" w:color="000000" w:fill="FFFFFF"/>
            <w:noWrap/>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-93.4</w:t>
            </w:r>
          </w:p>
        </w:tc>
        <w:tc>
          <w:tcPr>
            <w:tcW w:w="1275" w:type="dxa"/>
            <w:tcBorders>
              <w:top w:val="nil"/>
              <w:left w:val="nil"/>
              <w:bottom w:val="nil"/>
              <w:right w:val="single" w:sz="12" w:space="0" w:color="auto"/>
            </w:tcBorders>
            <w:shd w:val="clear" w:color="auto" w:fill="auto"/>
            <w:noWrap/>
            <w:vAlign w:val="bottom"/>
            <w:hideMark/>
          </w:tcPr>
          <w:p w:rsidR="000E3F15" w:rsidRPr="000E3F15" w:rsidRDefault="000E3F15" w:rsidP="000E3F15">
            <w:pPr>
              <w:jc w:val="right"/>
              <w:rPr>
                <w:sz w:val="22"/>
                <w:szCs w:val="22"/>
                <w:lang w:val="es-GT" w:eastAsia="es-GT"/>
              </w:rPr>
            </w:pPr>
            <w:r w:rsidRPr="000E3F15">
              <w:rPr>
                <w:sz w:val="22"/>
                <w:szCs w:val="22"/>
                <w:lang w:val="es-GT" w:eastAsia="es-GT"/>
              </w:rPr>
              <w:t>-32.3%</w:t>
            </w:r>
          </w:p>
        </w:tc>
      </w:tr>
      <w:tr w:rsidR="00DE6416" w:rsidRPr="000E3F15" w:rsidTr="005F1E18">
        <w:trPr>
          <w:trHeight w:val="488"/>
        </w:trPr>
        <w:tc>
          <w:tcPr>
            <w:tcW w:w="4268" w:type="dxa"/>
            <w:tcBorders>
              <w:top w:val="nil"/>
              <w:left w:val="single" w:sz="12" w:space="0" w:color="auto"/>
              <w:bottom w:val="nil"/>
              <w:right w:val="single" w:sz="4" w:space="0" w:color="auto"/>
            </w:tcBorders>
            <w:shd w:val="clear" w:color="000000" w:fill="auto"/>
            <w:hideMark/>
          </w:tcPr>
          <w:p w:rsidR="000E3F15" w:rsidRPr="000E3F15" w:rsidRDefault="000E3F15" w:rsidP="000E3F15">
            <w:pPr>
              <w:rPr>
                <w:sz w:val="22"/>
                <w:szCs w:val="22"/>
                <w:lang w:val="es-GT" w:eastAsia="es-GT"/>
              </w:rPr>
            </w:pPr>
            <w:r w:rsidRPr="000E3F15">
              <w:rPr>
                <w:sz w:val="22"/>
                <w:szCs w:val="22"/>
                <w:lang w:val="es-GT" w:eastAsia="es-GT"/>
              </w:rPr>
              <w:t xml:space="preserve">Fondo Nacional para la Reactivación y Modernización de la Actividad Agropecuaria </w:t>
            </w:r>
          </w:p>
        </w:tc>
        <w:tc>
          <w:tcPr>
            <w:tcW w:w="1134" w:type="dxa"/>
            <w:tcBorders>
              <w:top w:val="nil"/>
              <w:left w:val="nil"/>
              <w:bottom w:val="nil"/>
              <w:right w:val="single" w:sz="4" w:space="0" w:color="auto"/>
            </w:tcBorders>
            <w:shd w:val="clear" w:color="000000" w:fill="auto"/>
            <w:vAlign w:val="center"/>
            <w:hideMark/>
          </w:tcPr>
          <w:p w:rsidR="000E3F15" w:rsidRPr="000E3F15" w:rsidRDefault="000E3F15" w:rsidP="000E3F15">
            <w:pPr>
              <w:jc w:val="center"/>
              <w:rPr>
                <w:sz w:val="22"/>
                <w:szCs w:val="22"/>
                <w:lang w:val="es-GT" w:eastAsia="es-GT"/>
              </w:rPr>
            </w:pPr>
            <w:r w:rsidRPr="000E3F15">
              <w:rPr>
                <w:sz w:val="22"/>
                <w:szCs w:val="22"/>
                <w:lang w:val="es-GT" w:eastAsia="es-GT"/>
              </w:rPr>
              <w:t>11.4</w:t>
            </w:r>
          </w:p>
        </w:tc>
        <w:tc>
          <w:tcPr>
            <w:tcW w:w="1134" w:type="dxa"/>
            <w:tcBorders>
              <w:top w:val="nil"/>
              <w:left w:val="nil"/>
              <w:bottom w:val="nil"/>
              <w:right w:val="single" w:sz="4" w:space="0" w:color="auto"/>
            </w:tcBorders>
            <w:shd w:val="clear" w:color="000000" w:fill="auto"/>
            <w:vAlign w:val="center"/>
            <w:hideMark/>
          </w:tcPr>
          <w:p w:rsidR="000E3F15" w:rsidRPr="000E3F15" w:rsidRDefault="000E3F15" w:rsidP="000E3F15">
            <w:pPr>
              <w:jc w:val="center"/>
              <w:rPr>
                <w:sz w:val="22"/>
                <w:szCs w:val="22"/>
                <w:lang w:val="es-GT" w:eastAsia="es-GT"/>
              </w:rPr>
            </w:pPr>
            <w:r w:rsidRPr="000E3F15">
              <w:rPr>
                <w:sz w:val="22"/>
                <w:szCs w:val="22"/>
                <w:lang w:val="es-GT" w:eastAsia="es-GT"/>
              </w:rPr>
              <w:t>2.7</w:t>
            </w:r>
          </w:p>
        </w:tc>
        <w:tc>
          <w:tcPr>
            <w:tcW w:w="1276"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center"/>
              <w:rPr>
                <w:sz w:val="22"/>
                <w:szCs w:val="22"/>
                <w:lang w:val="es-GT" w:eastAsia="es-GT"/>
              </w:rPr>
            </w:pPr>
            <w:r w:rsidRPr="000E3F15">
              <w:rPr>
                <w:sz w:val="22"/>
                <w:szCs w:val="22"/>
                <w:lang w:val="es-GT" w:eastAsia="es-GT"/>
              </w:rPr>
              <w:t>-8.7</w:t>
            </w:r>
          </w:p>
        </w:tc>
        <w:tc>
          <w:tcPr>
            <w:tcW w:w="1275" w:type="dxa"/>
            <w:tcBorders>
              <w:top w:val="nil"/>
              <w:left w:val="nil"/>
              <w:bottom w:val="nil"/>
              <w:right w:val="single" w:sz="12" w:space="0" w:color="auto"/>
            </w:tcBorders>
            <w:shd w:val="clear" w:color="auto" w:fill="auto"/>
            <w:noWrap/>
            <w:vAlign w:val="center"/>
            <w:hideMark/>
          </w:tcPr>
          <w:p w:rsidR="000E3F15" w:rsidRPr="000E3F15" w:rsidRDefault="000E3F15" w:rsidP="000E3F15">
            <w:pPr>
              <w:jc w:val="right"/>
              <w:rPr>
                <w:sz w:val="22"/>
                <w:szCs w:val="22"/>
                <w:lang w:val="es-GT" w:eastAsia="es-GT"/>
              </w:rPr>
            </w:pPr>
            <w:r w:rsidRPr="000E3F15">
              <w:rPr>
                <w:sz w:val="22"/>
                <w:szCs w:val="22"/>
                <w:lang w:val="es-GT" w:eastAsia="es-GT"/>
              </w:rPr>
              <w:t>-76.3%</w:t>
            </w:r>
          </w:p>
        </w:tc>
      </w:tr>
      <w:tr w:rsidR="00DE6416" w:rsidRPr="000E3F15" w:rsidTr="005F1E18">
        <w:trPr>
          <w:trHeight w:val="126"/>
        </w:trPr>
        <w:tc>
          <w:tcPr>
            <w:tcW w:w="4268" w:type="dxa"/>
            <w:tcBorders>
              <w:top w:val="nil"/>
              <w:left w:val="single" w:sz="12" w:space="0" w:color="auto"/>
              <w:bottom w:val="nil"/>
              <w:right w:val="single" w:sz="4" w:space="0" w:color="auto"/>
            </w:tcBorders>
            <w:shd w:val="clear" w:color="000000" w:fill="auto"/>
            <w:vAlign w:val="bottom"/>
            <w:hideMark/>
          </w:tcPr>
          <w:p w:rsidR="000E3F15" w:rsidRPr="000E3F15" w:rsidRDefault="000E3F15" w:rsidP="000E3F15">
            <w:pPr>
              <w:rPr>
                <w:sz w:val="22"/>
                <w:szCs w:val="22"/>
                <w:lang w:val="es-GT" w:eastAsia="es-GT"/>
              </w:rPr>
            </w:pPr>
            <w:r w:rsidRPr="000E3F15">
              <w:rPr>
                <w:sz w:val="22"/>
                <w:szCs w:val="22"/>
                <w:lang w:val="es-GT" w:eastAsia="es-GT"/>
              </w:rPr>
              <w:t>Fondo Nacional de Desarrollo</w:t>
            </w:r>
          </w:p>
        </w:tc>
        <w:tc>
          <w:tcPr>
            <w:tcW w:w="1134" w:type="dxa"/>
            <w:tcBorders>
              <w:top w:val="nil"/>
              <w:left w:val="nil"/>
              <w:bottom w:val="nil"/>
              <w:right w:val="single" w:sz="4" w:space="0" w:color="auto"/>
            </w:tcBorders>
            <w:shd w:val="clear" w:color="000000" w:fill="auto"/>
            <w:vAlign w:val="center"/>
            <w:hideMark/>
          </w:tcPr>
          <w:p w:rsidR="000E3F15" w:rsidRPr="000E3F15" w:rsidRDefault="000E3F15" w:rsidP="000E3F15">
            <w:pPr>
              <w:jc w:val="center"/>
              <w:rPr>
                <w:sz w:val="22"/>
                <w:szCs w:val="22"/>
                <w:lang w:val="es-GT" w:eastAsia="es-GT"/>
              </w:rPr>
            </w:pPr>
            <w:r w:rsidRPr="000E3F15">
              <w:rPr>
                <w:sz w:val="22"/>
                <w:szCs w:val="22"/>
                <w:lang w:val="es-GT" w:eastAsia="es-GT"/>
              </w:rPr>
              <w:t>32.3</w:t>
            </w:r>
          </w:p>
        </w:tc>
        <w:tc>
          <w:tcPr>
            <w:tcW w:w="1134" w:type="dxa"/>
            <w:tcBorders>
              <w:top w:val="nil"/>
              <w:left w:val="nil"/>
              <w:bottom w:val="nil"/>
              <w:right w:val="single" w:sz="4" w:space="0" w:color="auto"/>
            </w:tcBorders>
            <w:shd w:val="clear" w:color="000000" w:fill="auto"/>
            <w:vAlign w:val="center"/>
            <w:hideMark/>
          </w:tcPr>
          <w:p w:rsidR="000E3F15" w:rsidRPr="000E3F15" w:rsidRDefault="000E3F15" w:rsidP="000E3F15">
            <w:pPr>
              <w:jc w:val="center"/>
              <w:rPr>
                <w:sz w:val="22"/>
                <w:szCs w:val="22"/>
                <w:lang w:val="es-GT" w:eastAsia="es-GT"/>
              </w:rPr>
            </w:pPr>
            <w:r w:rsidRPr="000E3F15">
              <w:rPr>
                <w:sz w:val="22"/>
                <w:szCs w:val="22"/>
                <w:lang w:val="es-GT" w:eastAsia="es-GT"/>
              </w:rPr>
              <w:t>0.0</w:t>
            </w:r>
          </w:p>
        </w:tc>
        <w:tc>
          <w:tcPr>
            <w:tcW w:w="1276" w:type="dxa"/>
            <w:tcBorders>
              <w:top w:val="nil"/>
              <w:left w:val="nil"/>
              <w:bottom w:val="nil"/>
              <w:right w:val="single" w:sz="4" w:space="0" w:color="auto"/>
            </w:tcBorders>
            <w:shd w:val="clear" w:color="000000" w:fill="FFFFFF"/>
            <w:noWrap/>
            <w:vAlign w:val="center"/>
            <w:hideMark/>
          </w:tcPr>
          <w:p w:rsidR="000E3F15" w:rsidRPr="000E3F15" w:rsidRDefault="000E3F15" w:rsidP="000E3F15">
            <w:pPr>
              <w:jc w:val="center"/>
              <w:rPr>
                <w:sz w:val="22"/>
                <w:szCs w:val="22"/>
                <w:lang w:val="es-GT" w:eastAsia="es-GT"/>
              </w:rPr>
            </w:pPr>
            <w:r w:rsidRPr="000E3F15">
              <w:rPr>
                <w:sz w:val="22"/>
                <w:szCs w:val="22"/>
                <w:lang w:val="es-GT" w:eastAsia="es-GT"/>
              </w:rPr>
              <w:t>-32.3</w:t>
            </w:r>
          </w:p>
        </w:tc>
        <w:tc>
          <w:tcPr>
            <w:tcW w:w="1275" w:type="dxa"/>
            <w:tcBorders>
              <w:top w:val="nil"/>
              <w:left w:val="nil"/>
              <w:bottom w:val="nil"/>
              <w:right w:val="single" w:sz="12" w:space="0" w:color="auto"/>
            </w:tcBorders>
            <w:shd w:val="clear" w:color="auto" w:fill="auto"/>
            <w:noWrap/>
            <w:vAlign w:val="bottom"/>
            <w:hideMark/>
          </w:tcPr>
          <w:p w:rsidR="000E3F15" w:rsidRPr="000E3F15" w:rsidRDefault="000E3F15" w:rsidP="000E3F15">
            <w:pPr>
              <w:jc w:val="right"/>
              <w:rPr>
                <w:sz w:val="22"/>
                <w:szCs w:val="22"/>
                <w:lang w:val="es-GT" w:eastAsia="es-GT"/>
              </w:rPr>
            </w:pPr>
            <w:r w:rsidRPr="000E3F15">
              <w:rPr>
                <w:sz w:val="22"/>
                <w:szCs w:val="22"/>
                <w:lang w:val="es-GT" w:eastAsia="es-GT"/>
              </w:rPr>
              <w:t>-100.0%</w:t>
            </w:r>
          </w:p>
        </w:tc>
      </w:tr>
      <w:tr w:rsidR="00DE6416" w:rsidRPr="000E3F15" w:rsidTr="00DE6416">
        <w:trPr>
          <w:trHeight w:val="315"/>
        </w:trPr>
        <w:tc>
          <w:tcPr>
            <w:tcW w:w="4268" w:type="dxa"/>
            <w:tcBorders>
              <w:top w:val="nil"/>
              <w:left w:val="single" w:sz="12" w:space="0" w:color="auto"/>
              <w:bottom w:val="nil"/>
              <w:right w:val="single" w:sz="4" w:space="0" w:color="auto"/>
            </w:tcBorders>
            <w:shd w:val="clear" w:color="000000" w:fill="auto"/>
            <w:vAlign w:val="bottom"/>
            <w:hideMark/>
          </w:tcPr>
          <w:p w:rsidR="000E3F15" w:rsidRPr="000E3F15" w:rsidRDefault="000E3F15" w:rsidP="000E3F15">
            <w:pPr>
              <w:rPr>
                <w:sz w:val="22"/>
                <w:szCs w:val="22"/>
                <w:lang w:val="es-GT" w:eastAsia="es-GT"/>
              </w:rPr>
            </w:pPr>
            <w:r w:rsidRPr="000E3F15">
              <w:rPr>
                <w:sz w:val="22"/>
                <w:szCs w:val="22"/>
                <w:lang w:val="es-GT" w:eastAsia="es-GT"/>
              </w:rPr>
              <w:t>Fondo de Protección Social</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149.3</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119.2</w:t>
            </w:r>
          </w:p>
        </w:tc>
        <w:tc>
          <w:tcPr>
            <w:tcW w:w="1276" w:type="dxa"/>
            <w:tcBorders>
              <w:top w:val="nil"/>
              <w:left w:val="nil"/>
              <w:bottom w:val="nil"/>
              <w:right w:val="single" w:sz="4" w:space="0" w:color="auto"/>
            </w:tcBorders>
            <w:shd w:val="clear" w:color="000000" w:fill="FFFFFF"/>
            <w:noWrap/>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-30.1</w:t>
            </w:r>
          </w:p>
        </w:tc>
        <w:tc>
          <w:tcPr>
            <w:tcW w:w="1275" w:type="dxa"/>
            <w:tcBorders>
              <w:top w:val="nil"/>
              <w:left w:val="nil"/>
              <w:bottom w:val="nil"/>
              <w:right w:val="single" w:sz="12" w:space="0" w:color="auto"/>
            </w:tcBorders>
            <w:shd w:val="clear" w:color="auto" w:fill="auto"/>
            <w:noWrap/>
            <w:vAlign w:val="bottom"/>
            <w:hideMark/>
          </w:tcPr>
          <w:p w:rsidR="000E3F15" w:rsidRPr="000E3F15" w:rsidRDefault="000E3F15" w:rsidP="000E3F15">
            <w:pPr>
              <w:jc w:val="right"/>
              <w:rPr>
                <w:sz w:val="22"/>
                <w:szCs w:val="22"/>
                <w:lang w:val="es-GT" w:eastAsia="es-GT"/>
              </w:rPr>
            </w:pPr>
            <w:r w:rsidRPr="000E3F15">
              <w:rPr>
                <w:sz w:val="22"/>
                <w:szCs w:val="22"/>
                <w:lang w:val="es-GT" w:eastAsia="es-GT"/>
              </w:rPr>
              <w:t>-20.1%</w:t>
            </w:r>
          </w:p>
        </w:tc>
      </w:tr>
      <w:tr w:rsidR="00DE6416" w:rsidRPr="000E3F15" w:rsidTr="00DE6416">
        <w:trPr>
          <w:trHeight w:val="315"/>
        </w:trPr>
        <w:tc>
          <w:tcPr>
            <w:tcW w:w="4268" w:type="dxa"/>
            <w:tcBorders>
              <w:top w:val="nil"/>
              <w:left w:val="single" w:sz="12" w:space="0" w:color="auto"/>
              <w:bottom w:val="nil"/>
              <w:right w:val="single" w:sz="4" w:space="0" w:color="auto"/>
            </w:tcBorders>
            <w:shd w:val="clear" w:color="000000" w:fill="auto"/>
            <w:vAlign w:val="bottom"/>
            <w:hideMark/>
          </w:tcPr>
          <w:p w:rsidR="000E3F15" w:rsidRPr="000E3F15" w:rsidRDefault="000E3F15" w:rsidP="000E3F15">
            <w:pPr>
              <w:rPr>
                <w:sz w:val="22"/>
                <w:szCs w:val="22"/>
                <w:lang w:val="es-GT" w:eastAsia="es-GT"/>
              </w:rPr>
            </w:pPr>
            <w:r w:rsidRPr="000E3F15">
              <w:rPr>
                <w:sz w:val="22"/>
                <w:szCs w:val="22"/>
                <w:lang w:val="es-GT" w:eastAsia="es-GT"/>
              </w:rPr>
              <w:t>Fondo Social de Solidaridad</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281.4</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52.1</w:t>
            </w:r>
          </w:p>
        </w:tc>
        <w:tc>
          <w:tcPr>
            <w:tcW w:w="1276" w:type="dxa"/>
            <w:tcBorders>
              <w:top w:val="nil"/>
              <w:left w:val="nil"/>
              <w:bottom w:val="nil"/>
              <w:right w:val="single" w:sz="4" w:space="0" w:color="auto"/>
            </w:tcBorders>
            <w:shd w:val="clear" w:color="000000" w:fill="FFFFFF"/>
            <w:noWrap/>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-229.3</w:t>
            </w:r>
          </w:p>
        </w:tc>
        <w:tc>
          <w:tcPr>
            <w:tcW w:w="1275" w:type="dxa"/>
            <w:tcBorders>
              <w:top w:val="nil"/>
              <w:left w:val="nil"/>
              <w:bottom w:val="nil"/>
              <w:right w:val="single" w:sz="12" w:space="0" w:color="auto"/>
            </w:tcBorders>
            <w:shd w:val="clear" w:color="auto" w:fill="auto"/>
            <w:noWrap/>
            <w:vAlign w:val="bottom"/>
            <w:hideMark/>
          </w:tcPr>
          <w:p w:rsidR="000E3F15" w:rsidRPr="000E3F15" w:rsidRDefault="000E3F15" w:rsidP="000E3F15">
            <w:pPr>
              <w:jc w:val="right"/>
              <w:rPr>
                <w:sz w:val="22"/>
                <w:szCs w:val="22"/>
                <w:lang w:val="es-GT" w:eastAsia="es-GT"/>
              </w:rPr>
            </w:pPr>
            <w:r w:rsidRPr="000E3F15">
              <w:rPr>
                <w:sz w:val="22"/>
                <w:szCs w:val="22"/>
                <w:lang w:val="es-GT" w:eastAsia="es-GT"/>
              </w:rPr>
              <w:t>-81.5%</w:t>
            </w:r>
          </w:p>
        </w:tc>
      </w:tr>
      <w:tr w:rsidR="00DE6416" w:rsidRPr="000E3F15" w:rsidTr="00DE6416">
        <w:trPr>
          <w:trHeight w:val="315"/>
        </w:trPr>
        <w:tc>
          <w:tcPr>
            <w:tcW w:w="4268" w:type="dxa"/>
            <w:tcBorders>
              <w:top w:val="nil"/>
              <w:left w:val="single" w:sz="12" w:space="0" w:color="auto"/>
              <w:bottom w:val="nil"/>
              <w:right w:val="single" w:sz="4" w:space="0" w:color="auto"/>
            </w:tcBorders>
            <w:shd w:val="clear" w:color="000000" w:fill="auto"/>
            <w:vAlign w:val="bottom"/>
            <w:hideMark/>
          </w:tcPr>
          <w:p w:rsidR="000E3F15" w:rsidRPr="000E3F15" w:rsidRDefault="000E3F15" w:rsidP="000E3F15">
            <w:pPr>
              <w:rPr>
                <w:sz w:val="22"/>
                <w:szCs w:val="22"/>
                <w:lang w:val="es-GT" w:eastAsia="es-GT"/>
              </w:rPr>
            </w:pPr>
            <w:r w:rsidRPr="000E3F15">
              <w:rPr>
                <w:sz w:val="22"/>
                <w:szCs w:val="22"/>
                <w:lang w:val="es-GT" w:eastAsia="es-GT"/>
              </w:rPr>
              <w:t>Fondo de Desarrollo Indígena Guatemalteco</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10.2</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0.0</w:t>
            </w:r>
          </w:p>
        </w:tc>
        <w:tc>
          <w:tcPr>
            <w:tcW w:w="1276" w:type="dxa"/>
            <w:tcBorders>
              <w:top w:val="nil"/>
              <w:left w:val="nil"/>
              <w:bottom w:val="nil"/>
              <w:right w:val="single" w:sz="4" w:space="0" w:color="auto"/>
            </w:tcBorders>
            <w:shd w:val="clear" w:color="000000" w:fill="FFFFFF"/>
            <w:noWrap/>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-10.2</w:t>
            </w:r>
          </w:p>
        </w:tc>
        <w:tc>
          <w:tcPr>
            <w:tcW w:w="1275" w:type="dxa"/>
            <w:tcBorders>
              <w:top w:val="nil"/>
              <w:left w:val="nil"/>
              <w:bottom w:val="nil"/>
              <w:right w:val="single" w:sz="12" w:space="0" w:color="auto"/>
            </w:tcBorders>
            <w:shd w:val="clear" w:color="auto" w:fill="auto"/>
            <w:noWrap/>
            <w:vAlign w:val="bottom"/>
            <w:hideMark/>
          </w:tcPr>
          <w:p w:rsidR="000E3F15" w:rsidRPr="000E3F15" w:rsidRDefault="000E3F15" w:rsidP="000E3F15">
            <w:pPr>
              <w:jc w:val="right"/>
              <w:rPr>
                <w:sz w:val="22"/>
                <w:szCs w:val="22"/>
                <w:lang w:val="es-GT" w:eastAsia="es-GT"/>
              </w:rPr>
            </w:pPr>
            <w:r w:rsidRPr="000E3F15">
              <w:rPr>
                <w:sz w:val="22"/>
                <w:szCs w:val="22"/>
                <w:lang w:val="es-GT" w:eastAsia="es-GT"/>
              </w:rPr>
              <w:t>-100.0%</w:t>
            </w:r>
          </w:p>
        </w:tc>
      </w:tr>
      <w:tr w:rsidR="00DE6416" w:rsidRPr="000E3F15" w:rsidTr="00DE6416">
        <w:trPr>
          <w:trHeight w:val="315"/>
        </w:trPr>
        <w:tc>
          <w:tcPr>
            <w:tcW w:w="4268" w:type="dxa"/>
            <w:tcBorders>
              <w:top w:val="nil"/>
              <w:left w:val="single" w:sz="12" w:space="0" w:color="auto"/>
              <w:bottom w:val="nil"/>
              <w:right w:val="single" w:sz="4" w:space="0" w:color="auto"/>
            </w:tcBorders>
            <w:shd w:val="clear" w:color="000000" w:fill="auto"/>
            <w:vAlign w:val="bottom"/>
            <w:hideMark/>
          </w:tcPr>
          <w:p w:rsidR="000E3F15" w:rsidRPr="000E3F15" w:rsidRDefault="000E3F15" w:rsidP="000E3F15">
            <w:pPr>
              <w:rPr>
                <w:sz w:val="22"/>
                <w:szCs w:val="22"/>
                <w:lang w:val="es-GT" w:eastAsia="es-GT"/>
              </w:rPr>
            </w:pPr>
            <w:r w:rsidRPr="000E3F15">
              <w:rPr>
                <w:sz w:val="22"/>
                <w:szCs w:val="22"/>
                <w:lang w:val="es-GT" w:eastAsia="es-GT"/>
              </w:rPr>
              <w:t>Fondo de Inversión para la Vivienda</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165.0</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15.1</w:t>
            </w:r>
          </w:p>
        </w:tc>
        <w:tc>
          <w:tcPr>
            <w:tcW w:w="1276" w:type="dxa"/>
            <w:tcBorders>
              <w:top w:val="nil"/>
              <w:left w:val="nil"/>
              <w:bottom w:val="nil"/>
              <w:right w:val="single" w:sz="4" w:space="0" w:color="auto"/>
            </w:tcBorders>
            <w:shd w:val="clear" w:color="000000" w:fill="FFFFFF"/>
            <w:noWrap/>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-150.0</w:t>
            </w:r>
          </w:p>
        </w:tc>
        <w:tc>
          <w:tcPr>
            <w:tcW w:w="1275" w:type="dxa"/>
            <w:tcBorders>
              <w:top w:val="nil"/>
              <w:left w:val="nil"/>
              <w:bottom w:val="nil"/>
              <w:right w:val="single" w:sz="12" w:space="0" w:color="auto"/>
            </w:tcBorders>
            <w:shd w:val="clear" w:color="auto" w:fill="auto"/>
            <w:noWrap/>
            <w:vAlign w:val="bottom"/>
            <w:hideMark/>
          </w:tcPr>
          <w:p w:rsidR="000E3F15" w:rsidRPr="000E3F15" w:rsidRDefault="000E3F15" w:rsidP="000E3F15">
            <w:pPr>
              <w:jc w:val="right"/>
              <w:rPr>
                <w:sz w:val="22"/>
                <w:szCs w:val="22"/>
                <w:lang w:val="es-GT" w:eastAsia="es-GT"/>
              </w:rPr>
            </w:pPr>
            <w:r w:rsidRPr="000E3F15">
              <w:rPr>
                <w:sz w:val="22"/>
                <w:szCs w:val="22"/>
                <w:lang w:val="es-GT" w:eastAsia="es-GT"/>
              </w:rPr>
              <w:t>-90.9%</w:t>
            </w:r>
          </w:p>
        </w:tc>
      </w:tr>
      <w:tr w:rsidR="00DE6416" w:rsidRPr="000E3F15" w:rsidTr="00DE6416">
        <w:trPr>
          <w:trHeight w:val="315"/>
        </w:trPr>
        <w:tc>
          <w:tcPr>
            <w:tcW w:w="4268" w:type="dxa"/>
            <w:tcBorders>
              <w:top w:val="nil"/>
              <w:left w:val="single" w:sz="12" w:space="0" w:color="auto"/>
              <w:bottom w:val="nil"/>
              <w:right w:val="single" w:sz="4" w:space="0" w:color="auto"/>
            </w:tcBorders>
            <w:shd w:val="clear" w:color="000000" w:fill="auto"/>
            <w:vAlign w:val="bottom"/>
            <w:hideMark/>
          </w:tcPr>
          <w:p w:rsidR="000E3F15" w:rsidRPr="000E3F15" w:rsidRDefault="000E3F15" w:rsidP="000E3F15">
            <w:pPr>
              <w:rPr>
                <w:sz w:val="22"/>
                <w:szCs w:val="22"/>
                <w:lang w:val="es-GT" w:eastAsia="es-GT"/>
              </w:rPr>
            </w:pPr>
            <w:r w:rsidRPr="000E3F15">
              <w:rPr>
                <w:sz w:val="22"/>
                <w:szCs w:val="22"/>
                <w:lang w:val="es-GT" w:eastAsia="es-GT"/>
              </w:rPr>
              <w:t>Fondo de Desarrollo Social</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31.3</w:t>
            </w:r>
          </w:p>
        </w:tc>
        <w:tc>
          <w:tcPr>
            <w:tcW w:w="1134" w:type="dxa"/>
            <w:tcBorders>
              <w:top w:val="nil"/>
              <w:left w:val="nil"/>
              <w:bottom w:val="nil"/>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0.0</w:t>
            </w:r>
          </w:p>
        </w:tc>
        <w:tc>
          <w:tcPr>
            <w:tcW w:w="1276" w:type="dxa"/>
            <w:tcBorders>
              <w:top w:val="nil"/>
              <w:left w:val="nil"/>
              <w:bottom w:val="nil"/>
              <w:right w:val="single" w:sz="4" w:space="0" w:color="auto"/>
            </w:tcBorders>
            <w:shd w:val="clear" w:color="000000" w:fill="FFFFFF"/>
            <w:noWrap/>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-31.3</w:t>
            </w:r>
          </w:p>
        </w:tc>
        <w:tc>
          <w:tcPr>
            <w:tcW w:w="1275" w:type="dxa"/>
            <w:tcBorders>
              <w:top w:val="nil"/>
              <w:left w:val="nil"/>
              <w:bottom w:val="nil"/>
              <w:right w:val="single" w:sz="12" w:space="0" w:color="auto"/>
            </w:tcBorders>
            <w:shd w:val="clear" w:color="auto" w:fill="auto"/>
            <w:noWrap/>
            <w:vAlign w:val="bottom"/>
            <w:hideMark/>
          </w:tcPr>
          <w:p w:rsidR="000E3F15" w:rsidRPr="000E3F15" w:rsidRDefault="000E3F15" w:rsidP="000E3F15">
            <w:pPr>
              <w:jc w:val="right"/>
              <w:rPr>
                <w:sz w:val="22"/>
                <w:szCs w:val="22"/>
                <w:lang w:val="es-GT" w:eastAsia="es-GT"/>
              </w:rPr>
            </w:pPr>
            <w:r w:rsidRPr="000E3F15">
              <w:rPr>
                <w:sz w:val="22"/>
                <w:szCs w:val="22"/>
                <w:lang w:val="es-GT" w:eastAsia="es-GT"/>
              </w:rPr>
              <w:t>-100.0%</w:t>
            </w:r>
          </w:p>
        </w:tc>
      </w:tr>
      <w:tr w:rsidR="00DE6416" w:rsidRPr="000E3F15" w:rsidTr="00DE6416">
        <w:trPr>
          <w:trHeight w:val="330"/>
        </w:trPr>
        <w:tc>
          <w:tcPr>
            <w:tcW w:w="4268" w:type="dxa"/>
            <w:tcBorders>
              <w:top w:val="nil"/>
              <w:left w:val="single" w:sz="12" w:space="0" w:color="auto"/>
              <w:bottom w:val="single" w:sz="12" w:space="0" w:color="auto"/>
              <w:right w:val="single" w:sz="4" w:space="0" w:color="auto"/>
            </w:tcBorders>
            <w:shd w:val="clear" w:color="000000" w:fill="auto"/>
            <w:vAlign w:val="bottom"/>
            <w:hideMark/>
          </w:tcPr>
          <w:p w:rsidR="000E3F15" w:rsidRPr="000E3F15" w:rsidRDefault="000E3F15" w:rsidP="000E3F15">
            <w:pPr>
              <w:rPr>
                <w:sz w:val="22"/>
                <w:szCs w:val="22"/>
                <w:lang w:val="es-GT" w:eastAsia="es-GT"/>
              </w:rPr>
            </w:pPr>
            <w:r w:rsidRPr="000E3F15">
              <w:rPr>
                <w:sz w:val="22"/>
                <w:szCs w:val="22"/>
                <w:lang w:val="es-GT" w:eastAsia="es-GT"/>
              </w:rPr>
              <w:t xml:space="preserve">Fondo Nacional de Ciencia y Tecnología  </w:t>
            </w:r>
          </w:p>
        </w:tc>
        <w:tc>
          <w:tcPr>
            <w:tcW w:w="1134" w:type="dxa"/>
            <w:tcBorders>
              <w:top w:val="nil"/>
              <w:left w:val="nil"/>
              <w:bottom w:val="single" w:sz="12" w:space="0" w:color="auto"/>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4.7</w:t>
            </w:r>
          </w:p>
        </w:tc>
        <w:tc>
          <w:tcPr>
            <w:tcW w:w="1134" w:type="dxa"/>
            <w:tcBorders>
              <w:top w:val="nil"/>
              <w:left w:val="nil"/>
              <w:bottom w:val="single" w:sz="12" w:space="0" w:color="auto"/>
              <w:right w:val="single" w:sz="4" w:space="0" w:color="auto"/>
            </w:tcBorders>
            <w:shd w:val="clear" w:color="000000" w:fill="auto"/>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2.6</w:t>
            </w:r>
          </w:p>
        </w:tc>
        <w:tc>
          <w:tcPr>
            <w:tcW w:w="1276" w:type="dxa"/>
            <w:tcBorders>
              <w:top w:val="nil"/>
              <w:left w:val="nil"/>
              <w:bottom w:val="single" w:sz="12" w:space="0" w:color="auto"/>
              <w:right w:val="single" w:sz="4" w:space="0" w:color="auto"/>
            </w:tcBorders>
            <w:shd w:val="clear" w:color="000000" w:fill="FFFFFF"/>
            <w:noWrap/>
            <w:vAlign w:val="bottom"/>
            <w:hideMark/>
          </w:tcPr>
          <w:p w:rsidR="000E3F15" w:rsidRPr="000E3F15" w:rsidRDefault="000E3F15" w:rsidP="000E3F15">
            <w:pPr>
              <w:jc w:val="center"/>
              <w:rPr>
                <w:sz w:val="22"/>
                <w:szCs w:val="22"/>
                <w:lang w:val="es-GT" w:eastAsia="es-GT"/>
              </w:rPr>
            </w:pPr>
            <w:r w:rsidRPr="000E3F15">
              <w:rPr>
                <w:sz w:val="22"/>
                <w:szCs w:val="22"/>
                <w:lang w:val="es-GT" w:eastAsia="es-GT"/>
              </w:rPr>
              <w:t>-2.2</w:t>
            </w:r>
          </w:p>
        </w:tc>
        <w:tc>
          <w:tcPr>
            <w:tcW w:w="1275" w:type="dxa"/>
            <w:tcBorders>
              <w:top w:val="nil"/>
              <w:left w:val="single" w:sz="4" w:space="0" w:color="auto"/>
              <w:bottom w:val="single" w:sz="12" w:space="0" w:color="auto"/>
              <w:right w:val="single" w:sz="12" w:space="0" w:color="auto"/>
            </w:tcBorders>
            <w:shd w:val="clear" w:color="auto" w:fill="auto"/>
            <w:noWrap/>
            <w:vAlign w:val="bottom"/>
            <w:hideMark/>
          </w:tcPr>
          <w:p w:rsidR="000E3F15" w:rsidRPr="000E3F15" w:rsidRDefault="000E3F15" w:rsidP="000E3F15">
            <w:pPr>
              <w:jc w:val="right"/>
              <w:rPr>
                <w:sz w:val="22"/>
                <w:szCs w:val="22"/>
                <w:lang w:val="es-GT" w:eastAsia="es-GT"/>
              </w:rPr>
            </w:pPr>
            <w:r w:rsidRPr="000E3F15">
              <w:rPr>
                <w:sz w:val="22"/>
                <w:szCs w:val="22"/>
                <w:lang w:val="es-GT" w:eastAsia="es-GT"/>
              </w:rPr>
              <w:t>-46.1%</w:t>
            </w:r>
          </w:p>
        </w:tc>
      </w:tr>
    </w:tbl>
    <w:p w:rsidR="00FB641E" w:rsidRPr="003115F3" w:rsidRDefault="00FB641E" w:rsidP="00FB641E">
      <w:pPr>
        <w:rPr>
          <w:sz w:val="16"/>
          <w:lang w:val="es-MX"/>
        </w:rPr>
      </w:pPr>
      <w:r w:rsidRPr="003115F3">
        <w:rPr>
          <w:sz w:val="16"/>
          <w:lang w:val="es-MX"/>
        </w:rPr>
        <w:t>Fuente: Ministerio de Finanzas Públicas con base al SICOIN.</w:t>
      </w:r>
    </w:p>
    <w:p w:rsidR="00FB641E" w:rsidRDefault="00FB641E" w:rsidP="00FB641E">
      <w:pPr>
        <w:rPr>
          <w:sz w:val="16"/>
          <w:lang w:val="es-MX"/>
        </w:rPr>
      </w:pPr>
      <w:r w:rsidRPr="003115F3">
        <w:rPr>
          <w:sz w:val="16"/>
          <w:lang w:val="es-MX"/>
        </w:rPr>
        <w:t>* Cifras preliminares</w:t>
      </w:r>
    </w:p>
    <w:p w:rsidR="00AE4E5C" w:rsidRDefault="00AE4E5C" w:rsidP="00FB641E">
      <w:pPr>
        <w:rPr>
          <w:sz w:val="16"/>
          <w:lang w:val="es-MX"/>
        </w:rPr>
      </w:pPr>
    </w:p>
    <w:p w:rsidR="00AE4E5C" w:rsidRPr="003115F3" w:rsidRDefault="00AE4E5C" w:rsidP="00FB641E">
      <w:pPr>
        <w:rPr>
          <w:sz w:val="16"/>
          <w:lang w:val="es-MX"/>
        </w:rPr>
      </w:pPr>
    </w:p>
    <w:p w:rsidR="00FB641E" w:rsidRPr="00FB641E" w:rsidRDefault="00B43576" w:rsidP="00FB641E">
      <w:pPr>
        <w:keepNext/>
        <w:keepLines/>
        <w:numPr>
          <w:ilvl w:val="2"/>
          <w:numId w:val="5"/>
        </w:numPr>
        <w:spacing w:before="200"/>
        <w:outlineLvl w:val="2"/>
        <w:rPr>
          <w:b/>
          <w:bCs/>
          <w:lang w:val="es-MX"/>
        </w:rPr>
      </w:pPr>
      <w:bookmarkStart w:id="15" w:name="_Toc460422675"/>
      <w:r>
        <w:rPr>
          <w:b/>
          <w:bCs/>
          <w:lang w:val="es-MX"/>
        </w:rPr>
        <w:t>G</w:t>
      </w:r>
      <w:r w:rsidR="00FB641E" w:rsidRPr="00FB641E">
        <w:rPr>
          <w:b/>
          <w:bCs/>
          <w:lang w:val="es-MX"/>
        </w:rPr>
        <w:t xml:space="preserve">asto </w:t>
      </w:r>
      <w:r w:rsidR="008438D3">
        <w:rPr>
          <w:b/>
          <w:bCs/>
          <w:lang w:val="es-MX"/>
        </w:rPr>
        <w:t>E</w:t>
      </w:r>
      <w:r w:rsidR="00FB641E" w:rsidRPr="00FB641E">
        <w:rPr>
          <w:b/>
          <w:bCs/>
          <w:lang w:val="es-MX"/>
        </w:rPr>
        <w:t>jecutado a través de Organizaciones No Gubernamentales</w:t>
      </w:r>
      <w:r w:rsidR="00AE4E5C">
        <w:rPr>
          <w:rStyle w:val="Refdenotaalpie"/>
          <w:b/>
          <w:bCs/>
          <w:lang w:val="es-MX"/>
        </w:rPr>
        <w:footnoteReference w:id="6"/>
      </w:r>
      <w:bookmarkEnd w:id="15"/>
    </w:p>
    <w:p w:rsidR="00FB641E" w:rsidRPr="00FB641E" w:rsidRDefault="00FB641E" w:rsidP="00FB641E">
      <w:pPr>
        <w:jc w:val="both"/>
        <w:rPr>
          <w:lang w:val="es-MX"/>
        </w:rPr>
      </w:pPr>
    </w:p>
    <w:p w:rsidR="00FB641E" w:rsidRPr="00FB641E" w:rsidRDefault="001924AD" w:rsidP="00FB641E">
      <w:pPr>
        <w:jc w:val="both"/>
        <w:rPr>
          <w:lang w:val="es-MX"/>
        </w:rPr>
      </w:pPr>
      <w:r>
        <w:rPr>
          <w:lang w:val="es-MX"/>
        </w:rPr>
        <w:t>A</w:t>
      </w:r>
      <w:r w:rsidR="00FB641E" w:rsidRPr="00FB641E">
        <w:rPr>
          <w:lang w:val="es-MX"/>
        </w:rPr>
        <w:t>l 30 de junio de 2016</w:t>
      </w:r>
      <w:r w:rsidR="000C29D6">
        <w:rPr>
          <w:lang w:val="es-MX"/>
        </w:rPr>
        <w:t>,</w:t>
      </w:r>
      <w:r w:rsidR="00FB641E" w:rsidRPr="00FB641E">
        <w:rPr>
          <w:lang w:val="es-MX"/>
        </w:rPr>
        <w:t xml:space="preserve"> se ha ejecutado</w:t>
      </w:r>
      <w:r>
        <w:rPr>
          <w:lang w:val="es-MX"/>
        </w:rPr>
        <w:t xml:space="preserve"> a través de Organizaciones No Gubernamentales el monto de</w:t>
      </w:r>
      <w:r w:rsidR="00FB641E" w:rsidRPr="00FB641E">
        <w:rPr>
          <w:lang w:val="es-MX"/>
        </w:rPr>
        <w:t xml:space="preserve"> Q509.5, equivalen</w:t>
      </w:r>
      <w:r w:rsidR="003132DD">
        <w:rPr>
          <w:lang w:val="es-MX"/>
        </w:rPr>
        <w:t>tes</w:t>
      </w:r>
      <w:r w:rsidR="00FB641E" w:rsidRPr="00FB641E">
        <w:rPr>
          <w:lang w:val="es-MX"/>
        </w:rPr>
        <w:t xml:space="preserve"> al 1.6% de la ejecución presupuestaria total, </w:t>
      </w:r>
      <w:r w:rsidR="003132DD">
        <w:rPr>
          <w:lang w:val="es-MX"/>
        </w:rPr>
        <w:t>superior</w:t>
      </w:r>
      <w:r w:rsidR="00FB641E" w:rsidRPr="00FB641E">
        <w:rPr>
          <w:lang w:val="es-MX"/>
        </w:rPr>
        <w:t xml:space="preserve"> en Q75.5 millones respecto a</w:t>
      </w:r>
      <w:r>
        <w:rPr>
          <w:lang w:val="es-MX"/>
        </w:rPr>
        <w:t xml:space="preserve"> la  misma fecha de</w:t>
      </w:r>
      <w:r w:rsidR="00FB641E" w:rsidRPr="00FB641E">
        <w:rPr>
          <w:lang w:val="es-MX"/>
        </w:rPr>
        <w:t xml:space="preserve"> 201</w:t>
      </w:r>
      <w:r w:rsidR="003132DD">
        <w:rPr>
          <w:lang w:val="es-MX"/>
        </w:rPr>
        <w:t>5</w:t>
      </w:r>
      <w:r w:rsidR="00FB641E" w:rsidRPr="00FB641E">
        <w:rPr>
          <w:lang w:val="es-MX"/>
        </w:rPr>
        <w:t>, siendo los principales ejecutores, el Ministerio de Salud Pública y Asistencia Social con el 63.9% de la ejecución pr</w:t>
      </w:r>
      <w:r>
        <w:rPr>
          <w:lang w:val="es-MX"/>
        </w:rPr>
        <w:t>esupuestaria</w:t>
      </w:r>
      <w:r w:rsidR="00FB641E" w:rsidRPr="00FB641E">
        <w:rPr>
          <w:lang w:val="es-MX"/>
        </w:rPr>
        <w:t>, seguido de</w:t>
      </w:r>
      <w:r w:rsidR="002A46ED">
        <w:rPr>
          <w:lang w:val="es-MX"/>
        </w:rPr>
        <w:t>l Ministerio de Educación con 25.8%,</w:t>
      </w:r>
      <w:r w:rsidR="00FB641E" w:rsidRPr="00FB641E">
        <w:rPr>
          <w:lang w:val="es-MX"/>
        </w:rPr>
        <w:t xml:space="preserve"> las Obligaciones del Estado a Cargo del Tesoro con </w:t>
      </w:r>
      <w:r w:rsidR="002A46ED">
        <w:rPr>
          <w:lang w:val="es-MX"/>
        </w:rPr>
        <w:t>5.5</w:t>
      </w:r>
      <w:r w:rsidR="00FB641E" w:rsidRPr="00FB641E">
        <w:rPr>
          <w:lang w:val="es-MX"/>
        </w:rPr>
        <w:t>%</w:t>
      </w:r>
      <w:r w:rsidR="002A46ED">
        <w:rPr>
          <w:lang w:val="es-MX"/>
        </w:rPr>
        <w:t xml:space="preserve"> y el Ministerio de Agricultura, Ganadería y Alimentación con 3.6%,</w:t>
      </w:r>
      <w:r w:rsidR="00FB641E" w:rsidRPr="00FB641E">
        <w:rPr>
          <w:lang w:val="es-MX"/>
        </w:rPr>
        <w:t xml:space="preserve"> entre otros. </w:t>
      </w:r>
    </w:p>
    <w:p w:rsidR="003132DD" w:rsidRDefault="003132DD">
      <w:pPr>
        <w:rPr>
          <w:b/>
          <w:sz w:val="22"/>
          <w:lang w:val="es-MX"/>
        </w:rPr>
      </w:pPr>
      <w:r>
        <w:rPr>
          <w:b/>
          <w:sz w:val="22"/>
          <w:lang w:val="es-MX"/>
        </w:rPr>
        <w:br w:type="page"/>
      </w:r>
    </w:p>
    <w:p w:rsidR="00FB641E" w:rsidRPr="00FB641E" w:rsidRDefault="00FB641E" w:rsidP="00FB641E">
      <w:pPr>
        <w:jc w:val="center"/>
        <w:rPr>
          <w:b/>
          <w:sz w:val="22"/>
          <w:lang w:val="es-MX"/>
        </w:rPr>
      </w:pPr>
      <w:r w:rsidRPr="00FB641E">
        <w:rPr>
          <w:b/>
          <w:sz w:val="22"/>
          <w:lang w:val="es-MX"/>
        </w:rPr>
        <w:lastRenderedPageBreak/>
        <w:t xml:space="preserve">Cuadro </w:t>
      </w:r>
      <w:r w:rsidR="00D04D9F">
        <w:rPr>
          <w:b/>
          <w:sz w:val="22"/>
          <w:lang w:val="es-MX"/>
        </w:rPr>
        <w:t>8</w:t>
      </w:r>
    </w:p>
    <w:p w:rsidR="00FB641E" w:rsidRPr="00FB641E" w:rsidRDefault="00FB641E" w:rsidP="00FB641E">
      <w:pPr>
        <w:jc w:val="center"/>
        <w:rPr>
          <w:b/>
          <w:sz w:val="22"/>
          <w:lang w:val="es-MX"/>
        </w:rPr>
      </w:pPr>
      <w:r w:rsidRPr="00FB641E">
        <w:rPr>
          <w:b/>
          <w:sz w:val="22"/>
          <w:lang w:val="es-MX"/>
        </w:rPr>
        <w:t>Aportes Realizados a Organizaciones No Gubernamentales -ONG-</w:t>
      </w:r>
    </w:p>
    <w:p w:rsidR="00FB641E" w:rsidRPr="000C29D6" w:rsidRDefault="00FB641E" w:rsidP="00FB641E">
      <w:pPr>
        <w:jc w:val="center"/>
        <w:rPr>
          <w:i/>
          <w:sz w:val="22"/>
          <w:lang w:val="es-MX"/>
        </w:rPr>
      </w:pPr>
      <w:r w:rsidRPr="000C29D6">
        <w:rPr>
          <w:i/>
          <w:sz w:val="22"/>
          <w:lang w:val="es-MX"/>
        </w:rPr>
        <w:t>Al 30 de junio de cada año</w:t>
      </w:r>
    </w:p>
    <w:p w:rsidR="00FB641E" w:rsidRDefault="00FB641E" w:rsidP="00FB641E">
      <w:pPr>
        <w:jc w:val="center"/>
        <w:rPr>
          <w:i/>
          <w:sz w:val="22"/>
          <w:lang w:val="es-MX"/>
        </w:rPr>
      </w:pPr>
      <w:r w:rsidRPr="000C29D6">
        <w:rPr>
          <w:i/>
          <w:sz w:val="22"/>
          <w:lang w:val="es-MX"/>
        </w:rPr>
        <w:t>(Cifras en Millones de Quetzales)</w:t>
      </w:r>
    </w:p>
    <w:tbl>
      <w:tblPr>
        <w:tblW w:w="9371" w:type="dxa"/>
        <w:tblInd w:w="55" w:type="dxa"/>
        <w:tblLayout w:type="fixed"/>
        <w:tblCellMar>
          <w:left w:w="70" w:type="dxa"/>
          <w:right w:w="70" w:type="dxa"/>
        </w:tblCellMar>
        <w:tblLook w:val="04A0" w:firstRow="1" w:lastRow="0" w:firstColumn="1" w:lastColumn="0" w:noHBand="0" w:noVBand="1"/>
      </w:tblPr>
      <w:tblGrid>
        <w:gridCol w:w="3417"/>
        <w:gridCol w:w="1134"/>
        <w:gridCol w:w="1276"/>
        <w:gridCol w:w="1276"/>
        <w:gridCol w:w="1134"/>
        <w:gridCol w:w="1134"/>
      </w:tblGrid>
      <w:tr w:rsidR="005F1E18" w:rsidRPr="005F1E18" w:rsidTr="005F1E18">
        <w:trPr>
          <w:trHeight w:val="315"/>
        </w:trPr>
        <w:tc>
          <w:tcPr>
            <w:tcW w:w="3417" w:type="dxa"/>
            <w:vMerge w:val="restart"/>
            <w:tcBorders>
              <w:top w:val="single" w:sz="12" w:space="0" w:color="auto"/>
              <w:left w:val="single" w:sz="12" w:space="0" w:color="auto"/>
              <w:bottom w:val="single" w:sz="12" w:space="0" w:color="000000"/>
              <w:right w:val="single" w:sz="4" w:space="0" w:color="auto"/>
            </w:tcBorders>
            <w:shd w:val="clear" w:color="000000" w:fill="8DB4E2"/>
            <w:noWrap/>
            <w:vAlign w:val="center"/>
            <w:hideMark/>
          </w:tcPr>
          <w:p w:rsidR="005F1E18" w:rsidRPr="005F1E18" w:rsidRDefault="005F1E18" w:rsidP="005F1E18">
            <w:pPr>
              <w:jc w:val="center"/>
              <w:rPr>
                <w:b/>
                <w:bCs/>
                <w:color w:val="000000"/>
                <w:sz w:val="22"/>
                <w:szCs w:val="22"/>
                <w:lang w:val="es-GT" w:eastAsia="es-GT"/>
              </w:rPr>
            </w:pPr>
            <w:r w:rsidRPr="005F1E18">
              <w:rPr>
                <w:b/>
                <w:bCs/>
                <w:color w:val="000000"/>
                <w:sz w:val="22"/>
                <w:szCs w:val="22"/>
                <w:lang w:val="es-GT" w:eastAsia="es-GT"/>
              </w:rPr>
              <w:t>Entidad</w:t>
            </w:r>
          </w:p>
        </w:tc>
        <w:tc>
          <w:tcPr>
            <w:tcW w:w="1134" w:type="dxa"/>
            <w:vMerge w:val="restart"/>
            <w:tcBorders>
              <w:top w:val="single" w:sz="12" w:space="0" w:color="auto"/>
              <w:left w:val="single" w:sz="4" w:space="0" w:color="auto"/>
              <w:bottom w:val="single" w:sz="12" w:space="0" w:color="000000"/>
              <w:right w:val="single" w:sz="4" w:space="0" w:color="auto"/>
            </w:tcBorders>
            <w:shd w:val="clear" w:color="000000" w:fill="8DB4E2"/>
            <w:vAlign w:val="center"/>
            <w:hideMark/>
          </w:tcPr>
          <w:p w:rsidR="005F1E18" w:rsidRPr="005F1E18" w:rsidRDefault="005F1E18" w:rsidP="005F1E18">
            <w:pPr>
              <w:jc w:val="center"/>
              <w:rPr>
                <w:b/>
                <w:bCs/>
                <w:color w:val="000000"/>
                <w:sz w:val="22"/>
                <w:szCs w:val="22"/>
                <w:lang w:val="es-GT" w:eastAsia="es-GT"/>
              </w:rPr>
            </w:pPr>
            <w:r w:rsidRPr="005F1E18">
              <w:rPr>
                <w:b/>
                <w:bCs/>
                <w:color w:val="000000"/>
                <w:sz w:val="22"/>
                <w:szCs w:val="22"/>
                <w:lang w:val="es-GT" w:eastAsia="es-GT"/>
              </w:rPr>
              <w:t>2015</w:t>
            </w:r>
          </w:p>
        </w:tc>
        <w:tc>
          <w:tcPr>
            <w:tcW w:w="2552" w:type="dxa"/>
            <w:gridSpan w:val="2"/>
            <w:tcBorders>
              <w:top w:val="single" w:sz="12" w:space="0" w:color="auto"/>
              <w:left w:val="nil"/>
              <w:bottom w:val="single" w:sz="4" w:space="0" w:color="auto"/>
              <w:right w:val="single" w:sz="4" w:space="0" w:color="auto"/>
            </w:tcBorders>
            <w:shd w:val="clear" w:color="000000" w:fill="8DB4E2"/>
            <w:vAlign w:val="center"/>
            <w:hideMark/>
          </w:tcPr>
          <w:p w:rsidR="005F1E18" w:rsidRPr="005F1E18" w:rsidRDefault="005F1E18" w:rsidP="005F1E18">
            <w:pPr>
              <w:jc w:val="center"/>
              <w:rPr>
                <w:b/>
                <w:bCs/>
                <w:color w:val="000000"/>
                <w:sz w:val="22"/>
                <w:szCs w:val="22"/>
                <w:lang w:val="es-GT" w:eastAsia="es-GT"/>
              </w:rPr>
            </w:pPr>
            <w:r w:rsidRPr="005F1E18">
              <w:rPr>
                <w:b/>
                <w:bCs/>
                <w:color w:val="000000"/>
                <w:sz w:val="22"/>
                <w:szCs w:val="22"/>
                <w:lang w:val="es-GT" w:eastAsia="es-GT"/>
              </w:rPr>
              <w:t>2016</w:t>
            </w:r>
          </w:p>
        </w:tc>
        <w:tc>
          <w:tcPr>
            <w:tcW w:w="2268" w:type="dxa"/>
            <w:gridSpan w:val="2"/>
            <w:tcBorders>
              <w:top w:val="single" w:sz="12" w:space="0" w:color="auto"/>
              <w:left w:val="nil"/>
              <w:bottom w:val="single" w:sz="4" w:space="0" w:color="auto"/>
              <w:right w:val="single" w:sz="12" w:space="0" w:color="000000"/>
            </w:tcBorders>
            <w:shd w:val="clear" w:color="000000" w:fill="8DB4E2"/>
            <w:vAlign w:val="center"/>
            <w:hideMark/>
          </w:tcPr>
          <w:p w:rsidR="005F1E18" w:rsidRPr="005F1E18" w:rsidRDefault="005F1E18" w:rsidP="005F1E18">
            <w:pPr>
              <w:jc w:val="center"/>
              <w:rPr>
                <w:b/>
                <w:bCs/>
                <w:color w:val="000000"/>
                <w:sz w:val="22"/>
                <w:szCs w:val="22"/>
                <w:lang w:val="es-GT" w:eastAsia="es-GT"/>
              </w:rPr>
            </w:pPr>
            <w:r w:rsidRPr="005F1E18">
              <w:rPr>
                <w:b/>
                <w:bCs/>
                <w:color w:val="000000"/>
                <w:sz w:val="22"/>
                <w:szCs w:val="22"/>
                <w:lang w:val="es-GT" w:eastAsia="es-GT"/>
              </w:rPr>
              <w:t>Diferencias 2016-2015</w:t>
            </w:r>
          </w:p>
        </w:tc>
      </w:tr>
      <w:tr w:rsidR="005F1E18" w:rsidRPr="005F1E18" w:rsidTr="005F1E18">
        <w:trPr>
          <w:trHeight w:val="555"/>
        </w:trPr>
        <w:tc>
          <w:tcPr>
            <w:tcW w:w="3417" w:type="dxa"/>
            <w:vMerge/>
            <w:tcBorders>
              <w:top w:val="single" w:sz="12" w:space="0" w:color="auto"/>
              <w:left w:val="single" w:sz="12" w:space="0" w:color="auto"/>
              <w:bottom w:val="single" w:sz="12" w:space="0" w:color="000000"/>
              <w:right w:val="single" w:sz="4" w:space="0" w:color="auto"/>
            </w:tcBorders>
            <w:vAlign w:val="center"/>
            <w:hideMark/>
          </w:tcPr>
          <w:p w:rsidR="005F1E18" w:rsidRPr="005F1E18" w:rsidRDefault="005F1E18" w:rsidP="005F1E18">
            <w:pPr>
              <w:rPr>
                <w:b/>
                <w:bCs/>
                <w:color w:val="000000"/>
                <w:sz w:val="22"/>
                <w:szCs w:val="22"/>
                <w:lang w:val="es-GT" w:eastAsia="es-GT"/>
              </w:rPr>
            </w:pPr>
          </w:p>
        </w:tc>
        <w:tc>
          <w:tcPr>
            <w:tcW w:w="1134" w:type="dxa"/>
            <w:vMerge/>
            <w:tcBorders>
              <w:top w:val="single" w:sz="12" w:space="0" w:color="auto"/>
              <w:left w:val="single" w:sz="4" w:space="0" w:color="auto"/>
              <w:bottom w:val="single" w:sz="12" w:space="0" w:color="000000"/>
              <w:right w:val="single" w:sz="4" w:space="0" w:color="auto"/>
            </w:tcBorders>
            <w:vAlign w:val="center"/>
            <w:hideMark/>
          </w:tcPr>
          <w:p w:rsidR="005F1E18" w:rsidRPr="005F1E18" w:rsidRDefault="005F1E18" w:rsidP="005F1E18">
            <w:pPr>
              <w:rPr>
                <w:b/>
                <w:bCs/>
                <w:color w:val="000000"/>
                <w:sz w:val="22"/>
                <w:szCs w:val="22"/>
                <w:lang w:val="es-GT" w:eastAsia="es-GT"/>
              </w:rPr>
            </w:pPr>
          </w:p>
        </w:tc>
        <w:tc>
          <w:tcPr>
            <w:tcW w:w="1276" w:type="dxa"/>
            <w:tcBorders>
              <w:top w:val="nil"/>
              <w:left w:val="nil"/>
              <w:bottom w:val="single" w:sz="12" w:space="0" w:color="auto"/>
              <w:right w:val="single" w:sz="4" w:space="0" w:color="auto"/>
            </w:tcBorders>
            <w:shd w:val="clear" w:color="000000" w:fill="8DB4E2"/>
            <w:noWrap/>
            <w:vAlign w:val="center"/>
            <w:hideMark/>
          </w:tcPr>
          <w:p w:rsidR="005F1E18" w:rsidRPr="005F1E18" w:rsidRDefault="005F1E18" w:rsidP="005F1E18">
            <w:pPr>
              <w:jc w:val="center"/>
              <w:rPr>
                <w:b/>
                <w:bCs/>
                <w:color w:val="000000"/>
                <w:sz w:val="22"/>
                <w:szCs w:val="22"/>
                <w:lang w:val="es-GT" w:eastAsia="es-GT"/>
              </w:rPr>
            </w:pPr>
            <w:r w:rsidRPr="005F1E18">
              <w:rPr>
                <w:b/>
                <w:bCs/>
                <w:color w:val="000000"/>
                <w:sz w:val="22"/>
                <w:szCs w:val="22"/>
                <w:lang w:val="es-GT" w:eastAsia="es-GT"/>
              </w:rPr>
              <w:t>Ejecución</w:t>
            </w:r>
          </w:p>
        </w:tc>
        <w:tc>
          <w:tcPr>
            <w:tcW w:w="1276" w:type="dxa"/>
            <w:tcBorders>
              <w:top w:val="nil"/>
              <w:left w:val="nil"/>
              <w:bottom w:val="single" w:sz="12" w:space="0" w:color="auto"/>
              <w:right w:val="single" w:sz="4" w:space="0" w:color="auto"/>
            </w:tcBorders>
            <w:shd w:val="clear" w:color="000000" w:fill="8DB4E2"/>
            <w:noWrap/>
            <w:vAlign w:val="center"/>
            <w:hideMark/>
          </w:tcPr>
          <w:p w:rsidR="005F1E18" w:rsidRPr="005F1E18" w:rsidRDefault="005F1E18" w:rsidP="005F1E18">
            <w:pPr>
              <w:jc w:val="center"/>
              <w:rPr>
                <w:b/>
                <w:bCs/>
                <w:color w:val="000000"/>
                <w:sz w:val="22"/>
                <w:szCs w:val="22"/>
                <w:lang w:val="es-GT" w:eastAsia="es-GT"/>
              </w:rPr>
            </w:pPr>
            <w:r w:rsidRPr="005F1E18">
              <w:rPr>
                <w:b/>
                <w:bCs/>
                <w:color w:val="000000"/>
                <w:sz w:val="22"/>
                <w:szCs w:val="22"/>
                <w:lang w:val="es-GT" w:eastAsia="es-GT"/>
              </w:rPr>
              <w:t>Estructura</w:t>
            </w:r>
          </w:p>
        </w:tc>
        <w:tc>
          <w:tcPr>
            <w:tcW w:w="1134" w:type="dxa"/>
            <w:tcBorders>
              <w:top w:val="nil"/>
              <w:left w:val="nil"/>
              <w:bottom w:val="single" w:sz="12" w:space="0" w:color="auto"/>
              <w:right w:val="single" w:sz="4" w:space="0" w:color="auto"/>
            </w:tcBorders>
            <w:shd w:val="clear" w:color="000000" w:fill="8DB4E2"/>
            <w:noWrap/>
            <w:vAlign w:val="center"/>
            <w:hideMark/>
          </w:tcPr>
          <w:p w:rsidR="005F1E18" w:rsidRPr="005F1E18" w:rsidRDefault="005F1E18" w:rsidP="005F1E18">
            <w:pPr>
              <w:jc w:val="center"/>
              <w:rPr>
                <w:b/>
                <w:bCs/>
                <w:color w:val="000000"/>
                <w:sz w:val="22"/>
                <w:szCs w:val="22"/>
                <w:lang w:val="es-GT" w:eastAsia="es-GT"/>
              </w:rPr>
            </w:pPr>
            <w:r w:rsidRPr="005F1E18">
              <w:rPr>
                <w:b/>
                <w:bCs/>
                <w:color w:val="000000"/>
                <w:sz w:val="22"/>
                <w:szCs w:val="22"/>
                <w:lang w:val="es-GT" w:eastAsia="es-GT"/>
              </w:rPr>
              <w:t>Absolutas</w:t>
            </w:r>
          </w:p>
        </w:tc>
        <w:tc>
          <w:tcPr>
            <w:tcW w:w="1134" w:type="dxa"/>
            <w:tcBorders>
              <w:top w:val="nil"/>
              <w:left w:val="single" w:sz="4" w:space="0" w:color="auto"/>
              <w:bottom w:val="single" w:sz="12" w:space="0" w:color="auto"/>
              <w:right w:val="single" w:sz="12" w:space="0" w:color="auto"/>
            </w:tcBorders>
            <w:shd w:val="clear" w:color="000000" w:fill="8DB4E2"/>
            <w:noWrap/>
            <w:vAlign w:val="center"/>
            <w:hideMark/>
          </w:tcPr>
          <w:p w:rsidR="005F1E18" w:rsidRPr="005F1E18" w:rsidRDefault="005F1E18" w:rsidP="005F1E18">
            <w:pPr>
              <w:jc w:val="center"/>
              <w:rPr>
                <w:b/>
                <w:bCs/>
                <w:color w:val="000000"/>
                <w:sz w:val="22"/>
                <w:szCs w:val="22"/>
                <w:lang w:val="es-GT" w:eastAsia="es-GT"/>
              </w:rPr>
            </w:pPr>
            <w:r w:rsidRPr="005F1E18">
              <w:rPr>
                <w:b/>
                <w:bCs/>
                <w:color w:val="000000"/>
                <w:sz w:val="22"/>
                <w:szCs w:val="22"/>
                <w:lang w:val="es-GT" w:eastAsia="es-GT"/>
              </w:rPr>
              <w:t>Relativas</w:t>
            </w:r>
          </w:p>
        </w:tc>
      </w:tr>
      <w:tr w:rsidR="005F1E18" w:rsidRPr="005F1E18" w:rsidTr="005F1E18">
        <w:trPr>
          <w:trHeight w:val="330"/>
        </w:trPr>
        <w:tc>
          <w:tcPr>
            <w:tcW w:w="3417" w:type="dxa"/>
            <w:tcBorders>
              <w:top w:val="nil"/>
              <w:left w:val="single" w:sz="12" w:space="0" w:color="auto"/>
              <w:bottom w:val="nil"/>
              <w:right w:val="single" w:sz="4" w:space="0" w:color="auto"/>
            </w:tcBorders>
            <w:shd w:val="clear" w:color="auto" w:fill="auto"/>
            <w:noWrap/>
            <w:vAlign w:val="center"/>
            <w:hideMark/>
          </w:tcPr>
          <w:p w:rsidR="005F1E18" w:rsidRPr="005F1E18" w:rsidRDefault="005F1E18" w:rsidP="005F1E18">
            <w:pPr>
              <w:jc w:val="center"/>
              <w:rPr>
                <w:b/>
                <w:bCs/>
                <w:color w:val="000000"/>
                <w:sz w:val="22"/>
                <w:szCs w:val="22"/>
                <w:lang w:val="es-GT" w:eastAsia="es-GT"/>
              </w:rPr>
            </w:pPr>
            <w:r>
              <w:rPr>
                <w:b/>
                <w:bCs/>
                <w:color w:val="000000"/>
                <w:sz w:val="22"/>
                <w:szCs w:val="22"/>
                <w:lang w:val="es-GT" w:eastAsia="es-GT"/>
              </w:rPr>
              <w:t>Total</w:t>
            </w:r>
            <w:r w:rsidRPr="005F1E18">
              <w:rPr>
                <w:b/>
                <w:bCs/>
                <w:color w:val="000000"/>
                <w:sz w:val="22"/>
                <w:szCs w:val="22"/>
                <w:lang w:val="es-GT" w:eastAsia="es-GT"/>
              </w:rPr>
              <w:t> </w:t>
            </w:r>
          </w:p>
        </w:tc>
        <w:tc>
          <w:tcPr>
            <w:tcW w:w="1134" w:type="dxa"/>
            <w:tcBorders>
              <w:top w:val="nil"/>
              <w:left w:val="single" w:sz="4" w:space="0" w:color="auto"/>
              <w:bottom w:val="nil"/>
              <w:right w:val="single" w:sz="4" w:space="0" w:color="auto"/>
            </w:tcBorders>
            <w:shd w:val="clear" w:color="auto" w:fill="auto"/>
            <w:noWrap/>
            <w:vAlign w:val="center"/>
            <w:hideMark/>
          </w:tcPr>
          <w:p w:rsidR="005F1E18" w:rsidRPr="005F1E18" w:rsidRDefault="005F1E18" w:rsidP="005F1E18">
            <w:pPr>
              <w:jc w:val="right"/>
              <w:rPr>
                <w:b/>
                <w:bCs/>
                <w:color w:val="000000"/>
                <w:sz w:val="22"/>
                <w:szCs w:val="22"/>
                <w:lang w:val="es-GT" w:eastAsia="es-GT"/>
              </w:rPr>
            </w:pPr>
            <w:r w:rsidRPr="005F1E18">
              <w:rPr>
                <w:b/>
                <w:bCs/>
                <w:color w:val="000000"/>
                <w:sz w:val="22"/>
                <w:szCs w:val="22"/>
                <w:lang w:val="es-GT" w:eastAsia="es-GT"/>
              </w:rPr>
              <w:t>509.5</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b/>
                <w:bCs/>
                <w:color w:val="000000"/>
                <w:sz w:val="22"/>
                <w:szCs w:val="22"/>
                <w:lang w:val="es-GT" w:eastAsia="es-GT"/>
              </w:rPr>
            </w:pPr>
            <w:r w:rsidRPr="005F1E18">
              <w:rPr>
                <w:b/>
                <w:bCs/>
                <w:color w:val="000000"/>
                <w:sz w:val="22"/>
                <w:szCs w:val="22"/>
                <w:lang w:val="es-GT" w:eastAsia="es-GT"/>
              </w:rPr>
              <w:t>292.2</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b/>
                <w:bCs/>
                <w:color w:val="000000"/>
                <w:sz w:val="22"/>
                <w:szCs w:val="22"/>
                <w:lang w:val="es-GT" w:eastAsia="es-GT"/>
              </w:rPr>
            </w:pPr>
            <w:r w:rsidRPr="005F1E18">
              <w:rPr>
                <w:b/>
                <w:bCs/>
                <w:color w:val="000000"/>
                <w:sz w:val="22"/>
                <w:szCs w:val="22"/>
                <w:lang w:val="es-GT" w:eastAsia="es-GT"/>
              </w:rPr>
              <w:t>100.0%</w:t>
            </w:r>
          </w:p>
        </w:tc>
        <w:tc>
          <w:tcPr>
            <w:tcW w:w="1134"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b/>
                <w:bCs/>
                <w:color w:val="000000"/>
                <w:sz w:val="22"/>
                <w:szCs w:val="22"/>
                <w:lang w:val="es-GT" w:eastAsia="es-GT"/>
              </w:rPr>
            </w:pPr>
            <w:r w:rsidRPr="005F1E18">
              <w:rPr>
                <w:b/>
                <w:bCs/>
                <w:color w:val="000000"/>
                <w:sz w:val="22"/>
                <w:szCs w:val="22"/>
                <w:lang w:val="es-GT" w:eastAsia="es-GT"/>
              </w:rPr>
              <w:t>-217.3</w:t>
            </w:r>
          </w:p>
        </w:tc>
        <w:tc>
          <w:tcPr>
            <w:tcW w:w="1134" w:type="dxa"/>
            <w:tcBorders>
              <w:top w:val="nil"/>
              <w:left w:val="nil"/>
              <w:bottom w:val="nil"/>
              <w:right w:val="single" w:sz="12" w:space="0" w:color="auto"/>
            </w:tcBorders>
            <w:shd w:val="clear" w:color="auto" w:fill="auto"/>
            <w:noWrap/>
            <w:vAlign w:val="center"/>
            <w:hideMark/>
          </w:tcPr>
          <w:p w:rsidR="005F1E18" w:rsidRPr="005F1E18" w:rsidRDefault="005F1E18" w:rsidP="005F1E18">
            <w:pPr>
              <w:jc w:val="right"/>
              <w:rPr>
                <w:b/>
                <w:bCs/>
                <w:color w:val="000000"/>
                <w:sz w:val="22"/>
                <w:szCs w:val="22"/>
                <w:lang w:val="es-GT" w:eastAsia="es-GT"/>
              </w:rPr>
            </w:pPr>
            <w:r w:rsidRPr="005F1E18">
              <w:rPr>
                <w:b/>
                <w:bCs/>
                <w:color w:val="000000"/>
                <w:sz w:val="22"/>
                <w:szCs w:val="22"/>
                <w:lang w:val="es-GT" w:eastAsia="es-GT"/>
              </w:rPr>
              <w:t>-42.6%</w:t>
            </w:r>
          </w:p>
        </w:tc>
      </w:tr>
      <w:tr w:rsidR="005F1E18" w:rsidRPr="005F1E18" w:rsidTr="005F1E18">
        <w:trPr>
          <w:trHeight w:val="315"/>
        </w:trPr>
        <w:tc>
          <w:tcPr>
            <w:tcW w:w="3417" w:type="dxa"/>
            <w:tcBorders>
              <w:top w:val="nil"/>
              <w:left w:val="single" w:sz="12" w:space="0" w:color="auto"/>
              <w:bottom w:val="nil"/>
              <w:right w:val="single" w:sz="4" w:space="0" w:color="auto"/>
            </w:tcBorders>
            <w:shd w:val="clear" w:color="auto" w:fill="auto"/>
            <w:noWrap/>
            <w:vAlign w:val="bottom"/>
            <w:hideMark/>
          </w:tcPr>
          <w:p w:rsidR="005F1E18" w:rsidRPr="005F1E18" w:rsidRDefault="005F1E18" w:rsidP="005F1E18">
            <w:pPr>
              <w:rPr>
                <w:color w:val="000000"/>
                <w:sz w:val="22"/>
                <w:szCs w:val="22"/>
                <w:lang w:val="es-GT" w:eastAsia="es-GT"/>
              </w:rPr>
            </w:pPr>
            <w:r w:rsidRPr="005F1E18">
              <w:rPr>
                <w:color w:val="000000"/>
                <w:sz w:val="22"/>
                <w:szCs w:val="22"/>
                <w:lang w:val="es-GT" w:eastAsia="es-GT"/>
              </w:rPr>
              <w:t>Ministerio de Gobernación</w:t>
            </w:r>
          </w:p>
        </w:tc>
        <w:tc>
          <w:tcPr>
            <w:tcW w:w="1134" w:type="dxa"/>
            <w:tcBorders>
              <w:top w:val="nil"/>
              <w:left w:val="single" w:sz="4" w:space="0" w:color="auto"/>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4.0</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 </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 </w:t>
            </w:r>
          </w:p>
        </w:tc>
        <w:tc>
          <w:tcPr>
            <w:tcW w:w="1134"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-4.0</w:t>
            </w:r>
          </w:p>
        </w:tc>
        <w:tc>
          <w:tcPr>
            <w:tcW w:w="1134" w:type="dxa"/>
            <w:tcBorders>
              <w:top w:val="nil"/>
              <w:left w:val="nil"/>
              <w:bottom w:val="nil"/>
              <w:right w:val="single" w:sz="12"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-100.0%</w:t>
            </w:r>
          </w:p>
        </w:tc>
      </w:tr>
      <w:tr w:rsidR="005F1E18" w:rsidRPr="005F1E18" w:rsidTr="005F1E18">
        <w:trPr>
          <w:trHeight w:val="315"/>
        </w:trPr>
        <w:tc>
          <w:tcPr>
            <w:tcW w:w="3417" w:type="dxa"/>
            <w:tcBorders>
              <w:top w:val="nil"/>
              <w:left w:val="single" w:sz="12" w:space="0" w:color="auto"/>
              <w:bottom w:val="nil"/>
              <w:right w:val="single" w:sz="4" w:space="0" w:color="auto"/>
            </w:tcBorders>
            <w:shd w:val="clear" w:color="auto" w:fill="auto"/>
            <w:noWrap/>
            <w:vAlign w:val="bottom"/>
            <w:hideMark/>
          </w:tcPr>
          <w:p w:rsidR="005F1E18" w:rsidRPr="005F1E18" w:rsidRDefault="005F1E18" w:rsidP="005F1E18">
            <w:pPr>
              <w:rPr>
                <w:color w:val="000000"/>
                <w:sz w:val="22"/>
                <w:szCs w:val="22"/>
                <w:lang w:val="es-GT" w:eastAsia="es-GT"/>
              </w:rPr>
            </w:pPr>
            <w:r w:rsidRPr="005F1E18">
              <w:rPr>
                <w:color w:val="000000"/>
                <w:sz w:val="22"/>
                <w:szCs w:val="22"/>
                <w:lang w:val="es-GT" w:eastAsia="es-GT"/>
              </w:rPr>
              <w:t>Ministerio de Educación</w:t>
            </w:r>
          </w:p>
        </w:tc>
        <w:tc>
          <w:tcPr>
            <w:tcW w:w="1134" w:type="dxa"/>
            <w:tcBorders>
              <w:top w:val="nil"/>
              <w:left w:val="single" w:sz="4" w:space="0" w:color="auto"/>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25.2</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75.5</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25.8%</w:t>
            </w:r>
          </w:p>
        </w:tc>
        <w:tc>
          <w:tcPr>
            <w:tcW w:w="1134"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50.3</w:t>
            </w:r>
          </w:p>
        </w:tc>
        <w:tc>
          <w:tcPr>
            <w:tcW w:w="1134" w:type="dxa"/>
            <w:tcBorders>
              <w:top w:val="nil"/>
              <w:left w:val="nil"/>
              <w:bottom w:val="nil"/>
              <w:right w:val="single" w:sz="12"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199.7%</w:t>
            </w:r>
          </w:p>
        </w:tc>
      </w:tr>
      <w:tr w:rsidR="005F1E18" w:rsidRPr="005F1E18" w:rsidTr="005F1E18">
        <w:trPr>
          <w:trHeight w:val="315"/>
        </w:trPr>
        <w:tc>
          <w:tcPr>
            <w:tcW w:w="3417" w:type="dxa"/>
            <w:tcBorders>
              <w:top w:val="nil"/>
              <w:left w:val="single" w:sz="12" w:space="0" w:color="auto"/>
              <w:bottom w:val="nil"/>
              <w:right w:val="single" w:sz="4" w:space="0" w:color="auto"/>
            </w:tcBorders>
            <w:shd w:val="clear" w:color="auto" w:fill="auto"/>
            <w:noWrap/>
            <w:vAlign w:val="bottom"/>
            <w:hideMark/>
          </w:tcPr>
          <w:p w:rsidR="005F1E18" w:rsidRPr="005F1E18" w:rsidRDefault="005F1E18" w:rsidP="005F1E18">
            <w:pPr>
              <w:rPr>
                <w:color w:val="000000"/>
                <w:sz w:val="22"/>
                <w:szCs w:val="22"/>
                <w:lang w:val="es-GT" w:eastAsia="es-GT"/>
              </w:rPr>
            </w:pPr>
            <w:r w:rsidRPr="005F1E18">
              <w:rPr>
                <w:color w:val="000000"/>
                <w:sz w:val="22"/>
                <w:szCs w:val="22"/>
                <w:lang w:val="es-GT" w:eastAsia="es-GT"/>
              </w:rPr>
              <w:t>Ministerio de Salud Pública y Asistencia Social</w:t>
            </w:r>
          </w:p>
        </w:tc>
        <w:tc>
          <w:tcPr>
            <w:tcW w:w="1134" w:type="dxa"/>
            <w:tcBorders>
              <w:top w:val="nil"/>
              <w:left w:val="single" w:sz="4" w:space="0" w:color="auto"/>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325.8</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186.6</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63.9%</w:t>
            </w:r>
          </w:p>
        </w:tc>
        <w:tc>
          <w:tcPr>
            <w:tcW w:w="1134"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-139.1</w:t>
            </w:r>
          </w:p>
        </w:tc>
        <w:tc>
          <w:tcPr>
            <w:tcW w:w="1134" w:type="dxa"/>
            <w:tcBorders>
              <w:top w:val="nil"/>
              <w:left w:val="nil"/>
              <w:bottom w:val="nil"/>
              <w:right w:val="single" w:sz="12"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-42.7%</w:t>
            </w:r>
          </w:p>
        </w:tc>
      </w:tr>
      <w:tr w:rsidR="005F1E18" w:rsidRPr="005F1E18" w:rsidTr="005F1E18">
        <w:trPr>
          <w:trHeight w:val="315"/>
        </w:trPr>
        <w:tc>
          <w:tcPr>
            <w:tcW w:w="3417" w:type="dxa"/>
            <w:tcBorders>
              <w:top w:val="nil"/>
              <w:left w:val="single" w:sz="12" w:space="0" w:color="auto"/>
              <w:bottom w:val="nil"/>
              <w:right w:val="single" w:sz="4" w:space="0" w:color="auto"/>
            </w:tcBorders>
            <w:shd w:val="clear" w:color="auto" w:fill="auto"/>
            <w:noWrap/>
            <w:vAlign w:val="bottom"/>
            <w:hideMark/>
          </w:tcPr>
          <w:p w:rsidR="005F1E18" w:rsidRPr="005F1E18" w:rsidRDefault="005F1E18" w:rsidP="005F1E18">
            <w:pPr>
              <w:rPr>
                <w:color w:val="000000"/>
                <w:sz w:val="22"/>
                <w:szCs w:val="22"/>
                <w:lang w:val="es-GT" w:eastAsia="es-GT"/>
              </w:rPr>
            </w:pPr>
            <w:r w:rsidRPr="005F1E18">
              <w:rPr>
                <w:color w:val="000000"/>
                <w:sz w:val="22"/>
                <w:szCs w:val="22"/>
                <w:lang w:val="es-GT" w:eastAsia="es-GT"/>
              </w:rPr>
              <w:t>Ministerio de Economía</w:t>
            </w:r>
          </w:p>
        </w:tc>
        <w:tc>
          <w:tcPr>
            <w:tcW w:w="1134" w:type="dxa"/>
            <w:tcBorders>
              <w:top w:val="nil"/>
              <w:left w:val="single" w:sz="4" w:space="0" w:color="auto"/>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7.3</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2.9</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1.0%</w:t>
            </w:r>
          </w:p>
        </w:tc>
        <w:tc>
          <w:tcPr>
            <w:tcW w:w="1134"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-4.4</w:t>
            </w:r>
          </w:p>
        </w:tc>
        <w:tc>
          <w:tcPr>
            <w:tcW w:w="1134" w:type="dxa"/>
            <w:tcBorders>
              <w:top w:val="nil"/>
              <w:left w:val="nil"/>
              <w:bottom w:val="nil"/>
              <w:right w:val="single" w:sz="12"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-59.6%</w:t>
            </w:r>
          </w:p>
        </w:tc>
      </w:tr>
      <w:tr w:rsidR="005F1E18" w:rsidRPr="005F1E18" w:rsidTr="005F1E18">
        <w:trPr>
          <w:trHeight w:val="315"/>
        </w:trPr>
        <w:tc>
          <w:tcPr>
            <w:tcW w:w="3417" w:type="dxa"/>
            <w:tcBorders>
              <w:top w:val="nil"/>
              <w:left w:val="single" w:sz="12" w:space="0" w:color="auto"/>
              <w:bottom w:val="nil"/>
              <w:right w:val="single" w:sz="4" w:space="0" w:color="auto"/>
            </w:tcBorders>
            <w:shd w:val="clear" w:color="auto" w:fill="auto"/>
            <w:noWrap/>
            <w:vAlign w:val="bottom"/>
            <w:hideMark/>
          </w:tcPr>
          <w:p w:rsidR="005F1E18" w:rsidRPr="005F1E18" w:rsidRDefault="005F1E18" w:rsidP="005F1E18">
            <w:pPr>
              <w:rPr>
                <w:color w:val="000000"/>
                <w:sz w:val="22"/>
                <w:szCs w:val="22"/>
                <w:lang w:val="es-GT" w:eastAsia="es-GT"/>
              </w:rPr>
            </w:pPr>
            <w:r w:rsidRPr="005F1E18">
              <w:rPr>
                <w:color w:val="000000"/>
                <w:sz w:val="22"/>
                <w:szCs w:val="22"/>
                <w:lang w:val="es-GT" w:eastAsia="es-GT"/>
              </w:rPr>
              <w:t>Ministerio de Agricultura, Ganadería y Alimentación</w:t>
            </w:r>
          </w:p>
        </w:tc>
        <w:tc>
          <w:tcPr>
            <w:tcW w:w="1134" w:type="dxa"/>
            <w:tcBorders>
              <w:top w:val="nil"/>
              <w:left w:val="single" w:sz="4" w:space="0" w:color="auto"/>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25.3</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10.4</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3.6%</w:t>
            </w:r>
          </w:p>
        </w:tc>
        <w:tc>
          <w:tcPr>
            <w:tcW w:w="1134"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-14.9</w:t>
            </w:r>
          </w:p>
        </w:tc>
        <w:tc>
          <w:tcPr>
            <w:tcW w:w="1134" w:type="dxa"/>
            <w:tcBorders>
              <w:top w:val="nil"/>
              <w:left w:val="nil"/>
              <w:bottom w:val="nil"/>
              <w:right w:val="single" w:sz="12"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-58.8%</w:t>
            </w:r>
          </w:p>
        </w:tc>
      </w:tr>
      <w:tr w:rsidR="005F1E18" w:rsidRPr="005F1E18" w:rsidTr="005F1E18">
        <w:trPr>
          <w:trHeight w:val="315"/>
        </w:trPr>
        <w:tc>
          <w:tcPr>
            <w:tcW w:w="3417" w:type="dxa"/>
            <w:tcBorders>
              <w:top w:val="nil"/>
              <w:left w:val="single" w:sz="12" w:space="0" w:color="auto"/>
              <w:bottom w:val="nil"/>
              <w:right w:val="single" w:sz="4" w:space="0" w:color="auto"/>
            </w:tcBorders>
            <w:shd w:val="clear" w:color="auto" w:fill="auto"/>
            <w:noWrap/>
            <w:vAlign w:val="bottom"/>
            <w:hideMark/>
          </w:tcPr>
          <w:p w:rsidR="005F1E18" w:rsidRPr="005F1E18" w:rsidRDefault="005F1E18" w:rsidP="005F1E18">
            <w:pPr>
              <w:rPr>
                <w:color w:val="000000"/>
                <w:sz w:val="22"/>
                <w:szCs w:val="22"/>
                <w:lang w:val="es-GT" w:eastAsia="es-GT"/>
              </w:rPr>
            </w:pPr>
            <w:r w:rsidRPr="005F1E18">
              <w:rPr>
                <w:color w:val="000000"/>
                <w:sz w:val="22"/>
                <w:szCs w:val="22"/>
                <w:lang w:val="es-GT" w:eastAsia="es-GT"/>
              </w:rPr>
              <w:t>Ministerio de Comunicaciones, Infraestructura y Vivienda</w:t>
            </w:r>
          </w:p>
        </w:tc>
        <w:tc>
          <w:tcPr>
            <w:tcW w:w="1134" w:type="dxa"/>
            <w:tcBorders>
              <w:top w:val="nil"/>
              <w:left w:val="single" w:sz="4" w:space="0" w:color="auto"/>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35.0</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 </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 </w:t>
            </w:r>
          </w:p>
        </w:tc>
        <w:tc>
          <w:tcPr>
            <w:tcW w:w="1134"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-35.0</w:t>
            </w:r>
          </w:p>
        </w:tc>
        <w:tc>
          <w:tcPr>
            <w:tcW w:w="1134" w:type="dxa"/>
            <w:tcBorders>
              <w:top w:val="nil"/>
              <w:left w:val="nil"/>
              <w:bottom w:val="nil"/>
              <w:right w:val="single" w:sz="12"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-100.0%</w:t>
            </w:r>
          </w:p>
        </w:tc>
      </w:tr>
      <w:tr w:rsidR="005F1E18" w:rsidRPr="005F1E18" w:rsidTr="005F1E18">
        <w:trPr>
          <w:trHeight w:val="315"/>
        </w:trPr>
        <w:tc>
          <w:tcPr>
            <w:tcW w:w="3417" w:type="dxa"/>
            <w:tcBorders>
              <w:top w:val="nil"/>
              <w:left w:val="single" w:sz="12" w:space="0" w:color="auto"/>
              <w:bottom w:val="nil"/>
              <w:right w:val="single" w:sz="4" w:space="0" w:color="auto"/>
            </w:tcBorders>
            <w:shd w:val="clear" w:color="auto" w:fill="auto"/>
            <w:noWrap/>
            <w:vAlign w:val="bottom"/>
            <w:hideMark/>
          </w:tcPr>
          <w:p w:rsidR="005F1E18" w:rsidRPr="005F1E18" w:rsidRDefault="005F1E18" w:rsidP="005F1E18">
            <w:pPr>
              <w:rPr>
                <w:color w:val="000000"/>
                <w:sz w:val="22"/>
                <w:szCs w:val="22"/>
                <w:lang w:val="es-GT" w:eastAsia="es-GT"/>
              </w:rPr>
            </w:pPr>
            <w:r w:rsidRPr="005F1E18">
              <w:rPr>
                <w:color w:val="000000"/>
                <w:sz w:val="22"/>
                <w:szCs w:val="22"/>
                <w:lang w:val="es-GT" w:eastAsia="es-GT"/>
              </w:rPr>
              <w:t>Secretarías y Otras Dependencias del Ejecutivo</w:t>
            </w:r>
          </w:p>
        </w:tc>
        <w:tc>
          <w:tcPr>
            <w:tcW w:w="1134" w:type="dxa"/>
            <w:tcBorders>
              <w:top w:val="nil"/>
              <w:left w:val="single" w:sz="4" w:space="0" w:color="auto"/>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0.4</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0.6</w:t>
            </w:r>
          </w:p>
        </w:tc>
        <w:tc>
          <w:tcPr>
            <w:tcW w:w="1276"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0.2%</w:t>
            </w:r>
          </w:p>
        </w:tc>
        <w:tc>
          <w:tcPr>
            <w:tcW w:w="1134" w:type="dxa"/>
            <w:tcBorders>
              <w:top w:val="nil"/>
              <w:left w:val="nil"/>
              <w:bottom w:val="nil"/>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0.2</w:t>
            </w:r>
          </w:p>
        </w:tc>
        <w:tc>
          <w:tcPr>
            <w:tcW w:w="1134" w:type="dxa"/>
            <w:tcBorders>
              <w:top w:val="nil"/>
              <w:left w:val="nil"/>
              <w:bottom w:val="nil"/>
              <w:right w:val="single" w:sz="12"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58.3%</w:t>
            </w:r>
          </w:p>
        </w:tc>
      </w:tr>
      <w:tr w:rsidR="005F1E18" w:rsidRPr="005F1E18" w:rsidTr="005F1E18">
        <w:trPr>
          <w:trHeight w:val="330"/>
        </w:trPr>
        <w:tc>
          <w:tcPr>
            <w:tcW w:w="3417" w:type="dxa"/>
            <w:tcBorders>
              <w:top w:val="nil"/>
              <w:left w:val="single" w:sz="12" w:space="0" w:color="auto"/>
              <w:bottom w:val="single" w:sz="12" w:space="0" w:color="auto"/>
              <w:right w:val="single" w:sz="4" w:space="0" w:color="auto"/>
            </w:tcBorders>
            <w:shd w:val="clear" w:color="auto" w:fill="auto"/>
            <w:noWrap/>
            <w:vAlign w:val="bottom"/>
            <w:hideMark/>
          </w:tcPr>
          <w:p w:rsidR="005F1E18" w:rsidRPr="005F1E18" w:rsidRDefault="005F1E18" w:rsidP="005F1E18">
            <w:pPr>
              <w:rPr>
                <w:color w:val="000000"/>
                <w:sz w:val="22"/>
                <w:szCs w:val="22"/>
                <w:lang w:val="es-GT" w:eastAsia="es-GT"/>
              </w:rPr>
            </w:pPr>
            <w:r w:rsidRPr="005F1E18">
              <w:rPr>
                <w:color w:val="000000"/>
                <w:sz w:val="22"/>
                <w:szCs w:val="22"/>
                <w:lang w:val="es-GT" w:eastAsia="es-GT"/>
              </w:rPr>
              <w:t>Obligaciones del Estado a Cargo del Tesoro</w:t>
            </w:r>
          </w:p>
        </w:tc>
        <w:tc>
          <w:tcPr>
            <w:tcW w:w="1134" w:type="dxa"/>
            <w:tcBorders>
              <w:top w:val="nil"/>
              <w:left w:val="nil"/>
              <w:bottom w:val="single" w:sz="12" w:space="0" w:color="auto"/>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86.5</w:t>
            </w:r>
          </w:p>
        </w:tc>
        <w:tc>
          <w:tcPr>
            <w:tcW w:w="1276" w:type="dxa"/>
            <w:tcBorders>
              <w:top w:val="nil"/>
              <w:left w:val="nil"/>
              <w:bottom w:val="single" w:sz="12" w:space="0" w:color="auto"/>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16.0</w:t>
            </w:r>
          </w:p>
        </w:tc>
        <w:tc>
          <w:tcPr>
            <w:tcW w:w="1276" w:type="dxa"/>
            <w:tcBorders>
              <w:top w:val="nil"/>
              <w:left w:val="nil"/>
              <w:bottom w:val="single" w:sz="12" w:space="0" w:color="auto"/>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5.5%</w:t>
            </w:r>
          </w:p>
        </w:tc>
        <w:tc>
          <w:tcPr>
            <w:tcW w:w="1134" w:type="dxa"/>
            <w:tcBorders>
              <w:top w:val="nil"/>
              <w:left w:val="nil"/>
              <w:bottom w:val="single" w:sz="12" w:space="0" w:color="auto"/>
              <w:right w:val="single" w:sz="4"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-70.5</w:t>
            </w:r>
          </w:p>
        </w:tc>
        <w:tc>
          <w:tcPr>
            <w:tcW w:w="1134" w:type="dxa"/>
            <w:tcBorders>
              <w:top w:val="nil"/>
              <w:left w:val="single" w:sz="4" w:space="0" w:color="auto"/>
              <w:bottom w:val="single" w:sz="12" w:space="0" w:color="auto"/>
              <w:right w:val="single" w:sz="12" w:space="0" w:color="auto"/>
            </w:tcBorders>
            <w:shd w:val="clear" w:color="auto" w:fill="auto"/>
            <w:noWrap/>
            <w:vAlign w:val="center"/>
            <w:hideMark/>
          </w:tcPr>
          <w:p w:rsidR="005F1E18" w:rsidRPr="005F1E18" w:rsidRDefault="005F1E18" w:rsidP="005F1E18">
            <w:pPr>
              <w:jc w:val="right"/>
              <w:rPr>
                <w:color w:val="000000"/>
                <w:sz w:val="22"/>
                <w:szCs w:val="22"/>
                <w:lang w:val="es-GT" w:eastAsia="es-GT"/>
              </w:rPr>
            </w:pPr>
            <w:r w:rsidRPr="005F1E18">
              <w:rPr>
                <w:color w:val="000000"/>
                <w:sz w:val="22"/>
                <w:szCs w:val="22"/>
                <w:lang w:val="es-GT" w:eastAsia="es-GT"/>
              </w:rPr>
              <w:t>-81.4%</w:t>
            </w:r>
          </w:p>
        </w:tc>
      </w:tr>
    </w:tbl>
    <w:p w:rsidR="00FB641E" w:rsidRPr="003132DD" w:rsidRDefault="00FB641E" w:rsidP="00FB641E">
      <w:pPr>
        <w:rPr>
          <w:sz w:val="16"/>
          <w:lang w:val="es-MX"/>
        </w:rPr>
      </w:pPr>
      <w:r w:rsidRPr="003132DD">
        <w:rPr>
          <w:sz w:val="16"/>
          <w:lang w:val="es-MX"/>
        </w:rPr>
        <w:t>Fuente: Ministerio de Finanzas Públicas con base al SICOIN.</w:t>
      </w:r>
    </w:p>
    <w:p w:rsidR="00FB641E" w:rsidRPr="003132DD" w:rsidRDefault="00FB641E" w:rsidP="00FB641E">
      <w:pPr>
        <w:rPr>
          <w:sz w:val="16"/>
          <w:lang w:val="es-MX"/>
        </w:rPr>
      </w:pPr>
      <w:r w:rsidRPr="003132DD">
        <w:rPr>
          <w:sz w:val="16"/>
          <w:lang w:val="es-MX"/>
        </w:rPr>
        <w:t>* Cifras preliminares</w:t>
      </w:r>
    </w:p>
    <w:p w:rsidR="00FB641E" w:rsidRPr="00FB641E" w:rsidRDefault="00FB641E" w:rsidP="00FB641E">
      <w:pPr>
        <w:keepNext/>
        <w:keepLines/>
        <w:numPr>
          <w:ilvl w:val="2"/>
          <w:numId w:val="5"/>
        </w:numPr>
        <w:spacing w:before="200"/>
        <w:outlineLvl w:val="2"/>
        <w:rPr>
          <w:b/>
          <w:bCs/>
          <w:lang w:val="es-MX"/>
        </w:rPr>
      </w:pPr>
      <w:bookmarkStart w:id="16" w:name="_Toc460422676"/>
      <w:r w:rsidRPr="00FB641E">
        <w:rPr>
          <w:b/>
          <w:bCs/>
          <w:lang w:val="es-MX"/>
        </w:rPr>
        <w:t>Déficit Fiscal</w:t>
      </w:r>
      <w:r w:rsidR="000C29D6">
        <w:rPr>
          <w:b/>
          <w:bCs/>
          <w:lang w:val="es-MX"/>
        </w:rPr>
        <w:t>,</w:t>
      </w:r>
      <w:r w:rsidRPr="00FB641E">
        <w:rPr>
          <w:b/>
          <w:bCs/>
          <w:lang w:val="es-MX"/>
        </w:rPr>
        <w:t xml:space="preserve"> al 30 de junio de cada año</w:t>
      </w:r>
      <w:bookmarkEnd w:id="16"/>
    </w:p>
    <w:p w:rsidR="00FB641E" w:rsidRPr="00FB641E" w:rsidRDefault="00FB641E" w:rsidP="00FB641E">
      <w:pPr>
        <w:jc w:val="both"/>
        <w:rPr>
          <w:lang w:val="es-MX"/>
        </w:rPr>
      </w:pPr>
    </w:p>
    <w:p w:rsidR="00FB641E" w:rsidRPr="00FB641E" w:rsidRDefault="00CD2CCE" w:rsidP="00CD2CCE">
      <w:pPr>
        <w:jc w:val="both"/>
        <w:rPr>
          <w:lang w:val="es-MX"/>
        </w:rPr>
      </w:pPr>
      <w:r>
        <w:rPr>
          <w:lang w:val="es-MX"/>
        </w:rPr>
        <w:t xml:space="preserve">La Política General de Gobierno </w:t>
      </w:r>
      <w:r w:rsidRPr="00CD2CCE">
        <w:rPr>
          <w:lang w:val="es-MX"/>
        </w:rPr>
        <w:t>parte del análisis de la situación</w:t>
      </w:r>
      <w:r>
        <w:rPr>
          <w:lang w:val="es-MX"/>
        </w:rPr>
        <w:t xml:space="preserve"> </w:t>
      </w:r>
      <w:r w:rsidRPr="00CD2CCE">
        <w:rPr>
          <w:lang w:val="es-MX"/>
        </w:rPr>
        <w:t>sociopolítica y económica actual</w:t>
      </w:r>
      <w:r>
        <w:rPr>
          <w:lang w:val="es-MX"/>
        </w:rPr>
        <w:t xml:space="preserve">, proponiendo </w:t>
      </w:r>
      <w:r w:rsidRPr="00CD2CCE">
        <w:rPr>
          <w:lang w:val="es-MX"/>
        </w:rPr>
        <w:t>enfrentar</w:t>
      </w:r>
      <w:r>
        <w:rPr>
          <w:lang w:val="es-MX"/>
        </w:rPr>
        <w:t xml:space="preserve"> </w:t>
      </w:r>
      <w:r w:rsidRPr="00CD2CCE">
        <w:rPr>
          <w:lang w:val="es-MX"/>
        </w:rPr>
        <w:t>y solucionar problemas como la corrupción, la</w:t>
      </w:r>
      <w:r>
        <w:rPr>
          <w:lang w:val="es-MX"/>
        </w:rPr>
        <w:t xml:space="preserve"> </w:t>
      </w:r>
      <w:r w:rsidRPr="00CD2CCE">
        <w:rPr>
          <w:lang w:val="es-MX"/>
        </w:rPr>
        <w:t>violencia, la agudización de la pobreza, la debilidad</w:t>
      </w:r>
      <w:r>
        <w:rPr>
          <w:lang w:val="es-MX"/>
        </w:rPr>
        <w:t xml:space="preserve"> </w:t>
      </w:r>
      <w:r w:rsidRPr="00CD2CCE">
        <w:rPr>
          <w:lang w:val="es-MX"/>
        </w:rPr>
        <w:t>institucional</w:t>
      </w:r>
      <w:r>
        <w:rPr>
          <w:lang w:val="es-MX"/>
        </w:rPr>
        <w:t xml:space="preserve"> y</w:t>
      </w:r>
      <w:r w:rsidRPr="00CD2CCE">
        <w:rPr>
          <w:lang w:val="es-MX"/>
        </w:rPr>
        <w:t xml:space="preserve"> la ineficacia del Estado</w:t>
      </w:r>
      <w:r w:rsidR="00B20F19">
        <w:rPr>
          <w:lang w:val="es-MX"/>
        </w:rPr>
        <w:t>, todo esto</w:t>
      </w:r>
      <w:r w:rsidRPr="00CD2CCE">
        <w:rPr>
          <w:lang w:val="es-MX"/>
        </w:rPr>
        <w:t xml:space="preserve"> para garantizar el</w:t>
      </w:r>
      <w:r>
        <w:rPr>
          <w:lang w:val="es-MX"/>
        </w:rPr>
        <w:t xml:space="preserve"> </w:t>
      </w:r>
      <w:r w:rsidRPr="00CD2CCE">
        <w:rPr>
          <w:lang w:val="es-MX"/>
        </w:rPr>
        <w:t>ejercicio de los derechos humanos</w:t>
      </w:r>
      <w:r>
        <w:rPr>
          <w:lang w:val="es-MX"/>
        </w:rPr>
        <w:t xml:space="preserve">. Congruente con dichos objetivos, </w:t>
      </w:r>
      <w:r w:rsidR="00FB641E" w:rsidRPr="001F2900">
        <w:rPr>
          <w:lang w:val="es-MX"/>
        </w:rPr>
        <w:t>la política fiscal</w:t>
      </w:r>
      <w:r>
        <w:rPr>
          <w:lang w:val="es-MX"/>
        </w:rPr>
        <w:t xml:space="preserve"> persigue</w:t>
      </w:r>
      <w:r w:rsidR="00FB641E" w:rsidRPr="001F2900">
        <w:rPr>
          <w:lang w:val="es-MX"/>
        </w:rPr>
        <w:t xml:space="preserve"> elevar </w:t>
      </w:r>
      <w:r>
        <w:rPr>
          <w:lang w:val="es-MX"/>
        </w:rPr>
        <w:t>el nivel de</w:t>
      </w:r>
      <w:r w:rsidR="00FB641E" w:rsidRPr="001F2900">
        <w:rPr>
          <w:lang w:val="es-MX"/>
        </w:rPr>
        <w:t xml:space="preserve"> recaudación de los ingresos tributarios, combatir la evasión y el contrabando aduanero, lograr la sostenibilidad de los niveles de endeudamiento, así como alcanzar la transparencia y calidad del gasto público, </w:t>
      </w:r>
      <w:r>
        <w:rPr>
          <w:lang w:val="es-MX"/>
        </w:rPr>
        <w:t xml:space="preserve">asignando los recursos presupuestarios durante los próximos cuatro años </w:t>
      </w:r>
      <w:r w:rsidR="00750D48">
        <w:rPr>
          <w:lang w:val="es-MX"/>
        </w:rPr>
        <w:t xml:space="preserve">en sectores prioritarios </w:t>
      </w:r>
      <w:r w:rsidR="00B20F19">
        <w:rPr>
          <w:lang w:val="es-MX"/>
        </w:rPr>
        <w:t xml:space="preserve">como educación, salud, seguridad y vivienda, </w:t>
      </w:r>
      <w:r w:rsidR="00FB641E" w:rsidRPr="001F2900">
        <w:rPr>
          <w:lang w:val="es-MX"/>
        </w:rPr>
        <w:t>enfocados en el logro de l</w:t>
      </w:r>
      <w:r w:rsidR="00B20F19">
        <w:rPr>
          <w:lang w:val="es-MX"/>
        </w:rPr>
        <w:t>a</w:t>
      </w:r>
      <w:r w:rsidR="00FB641E" w:rsidRPr="001F2900">
        <w:rPr>
          <w:lang w:val="es-MX"/>
        </w:rPr>
        <w:t xml:space="preserve">s </w:t>
      </w:r>
      <w:r w:rsidR="00B20F19">
        <w:rPr>
          <w:lang w:val="es-MX"/>
        </w:rPr>
        <w:t xml:space="preserve">metas y </w:t>
      </w:r>
      <w:r w:rsidR="00FB641E" w:rsidRPr="001F2900">
        <w:rPr>
          <w:lang w:val="es-MX"/>
        </w:rPr>
        <w:t xml:space="preserve">resultados </w:t>
      </w:r>
      <w:r w:rsidR="00B20F19">
        <w:rPr>
          <w:lang w:val="es-MX"/>
        </w:rPr>
        <w:t>que impacten en la sociedad guatemalteca.</w:t>
      </w:r>
    </w:p>
    <w:p w:rsidR="00FB641E" w:rsidRDefault="00FB641E" w:rsidP="00FB641E">
      <w:pPr>
        <w:jc w:val="both"/>
        <w:rPr>
          <w:lang w:val="es-MX"/>
        </w:rPr>
      </w:pPr>
    </w:p>
    <w:p w:rsidR="003162F2" w:rsidRDefault="000C1014" w:rsidP="00FB641E">
      <w:pPr>
        <w:jc w:val="both"/>
        <w:rPr>
          <w:lang w:val="es-MX"/>
        </w:rPr>
      </w:pPr>
      <w:r>
        <w:rPr>
          <w:lang w:val="es-MX"/>
        </w:rPr>
        <w:t>L</w:t>
      </w:r>
      <w:r w:rsidR="003162F2" w:rsidRPr="003162F2">
        <w:rPr>
          <w:lang w:val="es-MX"/>
        </w:rPr>
        <w:t xml:space="preserve">a disciplina fiscal </w:t>
      </w:r>
      <w:r w:rsidR="00B20F19">
        <w:rPr>
          <w:lang w:val="es-MX"/>
        </w:rPr>
        <w:t xml:space="preserve">durante los últimos años </w:t>
      </w:r>
      <w:r w:rsidR="003162F2" w:rsidRPr="003162F2">
        <w:rPr>
          <w:lang w:val="es-MX"/>
        </w:rPr>
        <w:t xml:space="preserve">se ha mantenido, pese a la crisis institucional de la Superintendencia de Administración Tributaria (SAT) y el incumplimiento de las metas de recaudación tributaria; </w:t>
      </w:r>
      <w:r w:rsidR="001F2900">
        <w:rPr>
          <w:lang w:val="es-MX"/>
        </w:rPr>
        <w:t xml:space="preserve">por lo que </w:t>
      </w:r>
      <w:r w:rsidR="003162F2" w:rsidRPr="003162F2">
        <w:rPr>
          <w:lang w:val="es-MX"/>
        </w:rPr>
        <w:t xml:space="preserve">el déficit fiscal </w:t>
      </w:r>
      <w:r w:rsidR="003007C7">
        <w:rPr>
          <w:lang w:val="es-MX"/>
        </w:rPr>
        <w:t xml:space="preserve">a finales </w:t>
      </w:r>
      <w:r w:rsidR="00B20F19">
        <w:rPr>
          <w:lang w:val="es-MX"/>
        </w:rPr>
        <w:t>del 2015</w:t>
      </w:r>
      <w:r w:rsidR="003162F2" w:rsidRPr="003162F2">
        <w:rPr>
          <w:lang w:val="es-MX"/>
        </w:rPr>
        <w:t xml:space="preserve"> se ubicó en torno al </w:t>
      </w:r>
      <w:r w:rsidR="003162F2" w:rsidRPr="001F2900">
        <w:rPr>
          <w:lang w:val="es-MX"/>
        </w:rPr>
        <w:t xml:space="preserve">1.4% del PIB. Por su parte, la deuda pública </w:t>
      </w:r>
      <w:r w:rsidR="00A96B2A">
        <w:rPr>
          <w:lang w:val="es-MX"/>
        </w:rPr>
        <w:t>continúa</w:t>
      </w:r>
      <w:r w:rsidR="003162F2" w:rsidRPr="001F2900">
        <w:rPr>
          <w:lang w:val="es-MX"/>
        </w:rPr>
        <w:t xml:space="preserve"> diversificada y mantiene niveles manejables</w:t>
      </w:r>
      <w:r w:rsidR="003007C7">
        <w:rPr>
          <w:lang w:val="es-MX"/>
        </w:rPr>
        <w:t xml:space="preserve"> </w:t>
      </w:r>
      <w:r w:rsidR="00A96B2A" w:rsidRPr="00A96B2A">
        <w:rPr>
          <w:lang w:val="es-MX"/>
        </w:rPr>
        <w:t>para atender los estándares</w:t>
      </w:r>
      <w:r w:rsidR="00A96B2A">
        <w:rPr>
          <w:lang w:val="es-MX"/>
        </w:rPr>
        <w:t xml:space="preserve"> internacionales</w:t>
      </w:r>
      <w:r w:rsidR="00A96B2A" w:rsidRPr="00A96B2A">
        <w:rPr>
          <w:lang w:val="es-MX"/>
        </w:rPr>
        <w:t xml:space="preserve"> recomendados de sostenibilidad</w:t>
      </w:r>
      <w:r w:rsidR="003007C7">
        <w:rPr>
          <w:lang w:val="es-MX"/>
        </w:rPr>
        <w:t>; asimismo, l</w:t>
      </w:r>
      <w:r w:rsidR="003162F2" w:rsidRPr="003162F2">
        <w:rPr>
          <w:lang w:val="es-MX"/>
        </w:rPr>
        <w:t>a estabilidad macroeconómica continúa siendo una de las mayores fortalezas del país.</w:t>
      </w:r>
    </w:p>
    <w:p w:rsidR="003162F2" w:rsidRPr="00FB641E" w:rsidRDefault="003162F2" w:rsidP="00FB641E">
      <w:pPr>
        <w:jc w:val="both"/>
        <w:rPr>
          <w:lang w:val="es-MX"/>
        </w:rPr>
      </w:pPr>
    </w:p>
    <w:p w:rsidR="003132DD" w:rsidRDefault="00A96B2A" w:rsidP="00FB641E">
      <w:pPr>
        <w:jc w:val="both"/>
        <w:rPr>
          <w:lang w:val="es-MX"/>
        </w:rPr>
      </w:pPr>
      <w:r>
        <w:rPr>
          <w:lang w:val="es-MX"/>
        </w:rPr>
        <w:t>En ese sentido, y dada la brecha que presenta la recaudación tributaria y las medidas de contención del gasto público adoptadas, el</w:t>
      </w:r>
      <w:r w:rsidR="00FB641E" w:rsidRPr="00FB641E">
        <w:rPr>
          <w:lang w:val="es-MX"/>
        </w:rPr>
        <w:t xml:space="preserve"> resultado presupuestario preliminar al 30 de junio de 2016</w:t>
      </w:r>
      <w:r w:rsidR="000C29D6">
        <w:rPr>
          <w:lang w:val="es-MX"/>
        </w:rPr>
        <w:t>,</w:t>
      </w:r>
      <w:r w:rsidR="00FB641E" w:rsidRPr="00FB641E">
        <w:rPr>
          <w:lang w:val="es-MX"/>
        </w:rPr>
        <w:t xml:space="preserve"> muestra un superávit fiscal de Q500.5 millones, equivalentes </w:t>
      </w:r>
      <w:r w:rsidR="00FB641E" w:rsidRPr="00DF4C7B">
        <w:rPr>
          <w:lang w:val="es-MX"/>
        </w:rPr>
        <w:t>al 0.0957%</w:t>
      </w:r>
      <w:r w:rsidR="00FB641E" w:rsidRPr="00FB641E">
        <w:rPr>
          <w:lang w:val="es-MX"/>
        </w:rPr>
        <w:t xml:space="preserve"> del PIB</w:t>
      </w:r>
      <w:r w:rsidR="003132DD">
        <w:rPr>
          <w:lang w:val="es-MX"/>
        </w:rPr>
        <w:t>.</w:t>
      </w:r>
    </w:p>
    <w:p w:rsidR="003132DD" w:rsidRDefault="003132DD" w:rsidP="00FB641E">
      <w:pPr>
        <w:jc w:val="both"/>
        <w:rPr>
          <w:lang w:val="es-MX"/>
        </w:rPr>
      </w:pPr>
    </w:p>
    <w:p w:rsidR="003132DD" w:rsidRPr="00FB641E" w:rsidRDefault="003132DD" w:rsidP="003132DD">
      <w:pPr>
        <w:jc w:val="center"/>
        <w:rPr>
          <w:b/>
          <w:sz w:val="22"/>
          <w:lang w:val="es-MX"/>
        </w:rPr>
      </w:pPr>
      <w:r w:rsidRPr="00FB641E">
        <w:rPr>
          <w:b/>
          <w:sz w:val="22"/>
          <w:lang w:val="es-MX"/>
        </w:rPr>
        <w:lastRenderedPageBreak/>
        <w:t xml:space="preserve">Gráfica </w:t>
      </w:r>
      <w:r w:rsidR="00D04D9F">
        <w:rPr>
          <w:b/>
          <w:sz w:val="22"/>
          <w:lang w:val="es-MX"/>
        </w:rPr>
        <w:t>7</w:t>
      </w:r>
    </w:p>
    <w:p w:rsidR="003132DD" w:rsidRPr="00FB641E" w:rsidRDefault="003132DD" w:rsidP="003132DD">
      <w:pPr>
        <w:jc w:val="center"/>
        <w:rPr>
          <w:b/>
          <w:sz w:val="22"/>
          <w:lang w:val="es-MX"/>
        </w:rPr>
      </w:pPr>
      <w:r>
        <w:rPr>
          <w:b/>
          <w:sz w:val="22"/>
          <w:lang w:val="es-MX"/>
        </w:rPr>
        <w:t xml:space="preserve">Resultado Presupuestario </w:t>
      </w:r>
    </w:p>
    <w:p w:rsidR="003132DD" w:rsidRPr="000C29D6" w:rsidRDefault="003132DD" w:rsidP="003132DD">
      <w:pPr>
        <w:jc w:val="center"/>
        <w:rPr>
          <w:i/>
          <w:sz w:val="22"/>
          <w:lang w:val="es-MX"/>
        </w:rPr>
      </w:pPr>
      <w:r w:rsidRPr="000C29D6">
        <w:rPr>
          <w:i/>
          <w:sz w:val="22"/>
          <w:lang w:val="es-MX"/>
        </w:rPr>
        <w:t xml:space="preserve">Al 30 de junio de </w:t>
      </w:r>
      <w:r w:rsidR="000C3FEC" w:rsidRPr="000C29D6">
        <w:rPr>
          <w:i/>
          <w:sz w:val="22"/>
          <w:lang w:val="es-MX"/>
        </w:rPr>
        <w:t>cada año</w:t>
      </w:r>
    </w:p>
    <w:p w:rsidR="003132DD" w:rsidRPr="000C29D6" w:rsidRDefault="003132DD" w:rsidP="003132DD">
      <w:pPr>
        <w:jc w:val="center"/>
        <w:rPr>
          <w:i/>
          <w:sz w:val="22"/>
          <w:lang w:val="es-MX"/>
        </w:rPr>
      </w:pPr>
      <w:r w:rsidRPr="000C29D6">
        <w:rPr>
          <w:i/>
          <w:sz w:val="22"/>
          <w:lang w:val="es-MX"/>
        </w:rPr>
        <w:t>(</w:t>
      </w:r>
      <w:r w:rsidR="000C3FEC" w:rsidRPr="000C29D6">
        <w:rPr>
          <w:i/>
          <w:sz w:val="22"/>
          <w:lang w:val="es-MX"/>
        </w:rPr>
        <w:t xml:space="preserve">Cifras en Millones de Quetzales y </w:t>
      </w:r>
      <w:r w:rsidR="00A435F6">
        <w:rPr>
          <w:i/>
          <w:sz w:val="22"/>
          <w:lang w:val="es-MX"/>
        </w:rPr>
        <w:t>P</w:t>
      </w:r>
      <w:r w:rsidRPr="000C29D6">
        <w:rPr>
          <w:i/>
          <w:sz w:val="22"/>
          <w:lang w:val="es-MX"/>
        </w:rPr>
        <w:t>orcentaje</w:t>
      </w:r>
      <w:r w:rsidR="000C3FEC" w:rsidRPr="000C29D6">
        <w:rPr>
          <w:i/>
          <w:sz w:val="22"/>
          <w:lang w:val="es-MX"/>
        </w:rPr>
        <w:t>s)</w:t>
      </w:r>
    </w:p>
    <w:p w:rsidR="003132DD" w:rsidRDefault="003132DD" w:rsidP="00FB641E">
      <w:pPr>
        <w:jc w:val="both"/>
        <w:rPr>
          <w:lang w:val="es-MX"/>
        </w:rPr>
      </w:pPr>
    </w:p>
    <w:p w:rsidR="003132DD" w:rsidRDefault="003132DD" w:rsidP="003B2ED8">
      <w:pPr>
        <w:jc w:val="center"/>
        <w:rPr>
          <w:lang w:val="es-MX"/>
        </w:rPr>
      </w:pPr>
      <w:r w:rsidRPr="003132DD">
        <w:rPr>
          <w:noProof/>
          <w:lang w:val="es-GT" w:eastAsia="es-GT"/>
        </w:rPr>
        <w:drawing>
          <wp:inline distT="0" distB="0" distL="0" distR="0" wp14:anchorId="0D519A19" wp14:editId="0E916A08">
            <wp:extent cx="5513696" cy="3214048"/>
            <wp:effectExtent l="0" t="0" r="0" b="5715"/>
            <wp:docPr id="24"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C3FEC" w:rsidRPr="000C3FEC" w:rsidRDefault="000C3FEC" w:rsidP="00377DD9">
      <w:pPr>
        <w:ind w:left="709"/>
        <w:jc w:val="both"/>
        <w:rPr>
          <w:sz w:val="16"/>
          <w:lang w:val="es-MX"/>
        </w:rPr>
      </w:pPr>
      <w:r w:rsidRPr="000C3FEC">
        <w:rPr>
          <w:sz w:val="16"/>
          <w:lang w:val="es-MX"/>
        </w:rPr>
        <w:t>Fuente: Ministerio de Finanzas Públicas con base al SICOIN.</w:t>
      </w:r>
    </w:p>
    <w:p w:rsidR="003132DD" w:rsidRPr="000C3FEC" w:rsidRDefault="000C3FEC" w:rsidP="00377DD9">
      <w:pPr>
        <w:ind w:left="709"/>
        <w:jc w:val="both"/>
        <w:rPr>
          <w:sz w:val="16"/>
          <w:lang w:val="es-MX"/>
        </w:rPr>
      </w:pPr>
      <w:r w:rsidRPr="000C3FEC">
        <w:rPr>
          <w:sz w:val="16"/>
          <w:lang w:val="es-MX"/>
        </w:rPr>
        <w:t>* Cifras preliminares</w:t>
      </w:r>
    </w:p>
    <w:p w:rsidR="000C3FEC" w:rsidRDefault="000C3FEC" w:rsidP="00FB641E">
      <w:pPr>
        <w:jc w:val="both"/>
        <w:rPr>
          <w:lang w:val="es-MX"/>
        </w:rPr>
      </w:pPr>
    </w:p>
    <w:p w:rsidR="00FB641E" w:rsidRPr="00FB641E" w:rsidRDefault="00FB641E" w:rsidP="00FB641E">
      <w:pPr>
        <w:jc w:val="both"/>
        <w:rPr>
          <w:lang w:val="es-MX"/>
        </w:rPr>
      </w:pPr>
    </w:p>
    <w:p w:rsidR="00FB641E" w:rsidRPr="00FB641E" w:rsidRDefault="00FB641E" w:rsidP="00FB641E">
      <w:pPr>
        <w:jc w:val="both"/>
        <w:rPr>
          <w:lang w:val="es-MX"/>
        </w:rPr>
      </w:pPr>
    </w:p>
    <w:p w:rsidR="00FB641E" w:rsidRPr="00FB641E" w:rsidRDefault="00FB641E" w:rsidP="00FB641E">
      <w:pPr>
        <w:jc w:val="both"/>
        <w:rPr>
          <w:lang w:val="es-MX"/>
        </w:rPr>
      </w:pPr>
    </w:p>
    <w:p w:rsidR="00FB641E" w:rsidRPr="00FB641E" w:rsidRDefault="00FB641E" w:rsidP="00FB641E">
      <w:pPr>
        <w:jc w:val="both"/>
        <w:rPr>
          <w:lang w:val="es-MX"/>
        </w:rPr>
      </w:pPr>
    </w:p>
    <w:p w:rsidR="00FB641E" w:rsidRPr="00FB641E" w:rsidRDefault="00FB641E" w:rsidP="00FB641E">
      <w:pPr>
        <w:jc w:val="both"/>
        <w:rPr>
          <w:lang w:val="es-MX"/>
        </w:rPr>
      </w:pPr>
    </w:p>
    <w:p w:rsidR="000C3FEC" w:rsidRDefault="000C3FEC">
      <w:pPr>
        <w:rPr>
          <w:b/>
          <w:sz w:val="22"/>
          <w:lang w:val="es-MX"/>
        </w:rPr>
      </w:pPr>
      <w:r>
        <w:rPr>
          <w:b/>
          <w:sz w:val="22"/>
          <w:lang w:val="es-MX"/>
        </w:rPr>
        <w:br w:type="page"/>
      </w:r>
    </w:p>
    <w:p w:rsidR="00FB641E" w:rsidRPr="00FB641E" w:rsidRDefault="00FB641E" w:rsidP="00FB641E">
      <w:pPr>
        <w:jc w:val="center"/>
        <w:rPr>
          <w:b/>
          <w:sz w:val="22"/>
          <w:lang w:val="es-MX"/>
        </w:rPr>
      </w:pPr>
      <w:r w:rsidRPr="00FB641E">
        <w:rPr>
          <w:b/>
          <w:sz w:val="22"/>
          <w:lang w:val="es-MX"/>
        </w:rPr>
        <w:lastRenderedPageBreak/>
        <w:t xml:space="preserve">Cuadro </w:t>
      </w:r>
      <w:r w:rsidR="00D04D9F">
        <w:rPr>
          <w:b/>
          <w:sz w:val="22"/>
          <w:lang w:val="es-MX"/>
        </w:rPr>
        <w:t>9</w:t>
      </w:r>
    </w:p>
    <w:p w:rsidR="00FB641E" w:rsidRPr="00FB641E" w:rsidRDefault="00FB641E" w:rsidP="00FB641E">
      <w:pPr>
        <w:jc w:val="center"/>
        <w:rPr>
          <w:b/>
          <w:sz w:val="22"/>
          <w:lang w:val="es-MX"/>
        </w:rPr>
      </w:pPr>
      <w:r w:rsidRPr="00FB641E">
        <w:rPr>
          <w:b/>
          <w:sz w:val="22"/>
          <w:lang w:val="es-MX"/>
        </w:rPr>
        <w:t>Situación Financiera de la Administración Central</w:t>
      </w:r>
    </w:p>
    <w:p w:rsidR="00FB641E" w:rsidRPr="006C70CB" w:rsidRDefault="00FB641E" w:rsidP="00FB641E">
      <w:pPr>
        <w:jc w:val="center"/>
        <w:rPr>
          <w:i/>
          <w:sz w:val="22"/>
          <w:lang w:val="es-MX"/>
        </w:rPr>
      </w:pPr>
      <w:r w:rsidRPr="006C70CB">
        <w:rPr>
          <w:i/>
          <w:sz w:val="22"/>
          <w:lang w:val="es-MX"/>
        </w:rPr>
        <w:t>Al 30 de junio de cada año</w:t>
      </w:r>
    </w:p>
    <w:p w:rsidR="00FB641E" w:rsidRDefault="00FB641E" w:rsidP="00FB641E">
      <w:pPr>
        <w:jc w:val="center"/>
        <w:rPr>
          <w:i/>
          <w:sz w:val="22"/>
          <w:lang w:val="es-MX"/>
        </w:rPr>
      </w:pPr>
      <w:r w:rsidRPr="006C70CB">
        <w:rPr>
          <w:i/>
          <w:sz w:val="22"/>
          <w:lang w:val="es-MX"/>
        </w:rPr>
        <w:t>(Cifras en Millones de Quetzales)</w:t>
      </w:r>
    </w:p>
    <w:p w:rsidR="005F1E18" w:rsidRPr="006C70CB" w:rsidRDefault="005F1E18" w:rsidP="00FB641E">
      <w:pPr>
        <w:jc w:val="center"/>
        <w:rPr>
          <w:i/>
          <w:sz w:val="22"/>
          <w:lang w:val="es-MX"/>
        </w:rPr>
      </w:pPr>
      <w:r w:rsidRPr="005F1E18">
        <w:rPr>
          <w:noProof/>
          <w:lang w:val="es-GT" w:eastAsia="es-GT"/>
        </w:rPr>
        <w:drawing>
          <wp:inline distT="0" distB="0" distL="0" distR="0" wp14:anchorId="7B9D6A2D" wp14:editId="60FF462B">
            <wp:extent cx="5760720" cy="4872704"/>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872704"/>
                    </a:xfrm>
                    <a:prstGeom prst="rect">
                      <a:avLst/>
                    </a:prstGeom>
                    <a:noFill/>
                    <a:ln>
                      <a:noFill/>
                    </a:ln>
                  </pic:spPr>
                </pic:pic>
              </a:graphicData>
            </a:graphic>
          </wp:inline>
        </w:drawing>
      </w:r>
    </w:p>
    <w:p w:rsidR="00FB641E" w:rsidRPr="000C3FEC" w:rsidRDefault="00FB641E" w:rsidP="00FB641E">
      <w:pPr>
        <w:rPr>
          <w:sz w:val="16"/>
          <w:lang w:val="es-MX"/>
        </w:rPr>
      </w:pPr>
      <w:r w:rsidRPr="000C3FEC">
        <w:rPr>
          <w:sz w:val="16"/>
          <w:lang w:val="es-MX"/>
        </w:rPr>
        <w:t>Fuente: Ministerio de Finanzas Públicas con base al SICOIN.</w:t>
      </w:r>
    </w:p>
    <w:p w:rsidR="00FB641E" w:rsidRPr="000C3FEC" w:rsidRDefault="00FB641E" w:rsidP="00FB641E">
      <w:pPr>
        <w:rPr>
          <w:sz w:val="16"/>
          <w:lang w:val="es-MX"/>
        </w:rPr>
      </w:pPr>
      <w:r w:rsidRPr="000C3FEC">
        <w:rPr>
          <w:sz w:val="16"/>
          <w:lang w:val="es-MX"/>
        </w:rPr>
        <w:t>* Cifras preliminares</w:t>
      </w:r>
    </w:p>
    <w:p w:rsidR="00FB641E" w:rsidRPr="00FB641E" w:rsidRDefault="00FB641E" w:rsidP="00FB641E">
      <w:pPr>
        <w:jc w:val="both"/>
        <w:rPr>
          <w:sz w:val="12"/>
          <w:lang w:val="es-MX"/>
        </w:rPr>
      </w:pPr>
    </w:p>
    <w:p w:rsidR="00FB641E" w:rsidRPr="00FB641E" w:rsidRDefault="00FB641E" w:rsidP="00FB641E">
      <w:pPr>
        <w:jc w:val="both"/>
        <w:rPr>
          <w:lang w:val="es-MX"/>
        </w:rPr>
      </w:pPr>
    </w:p>
    <w:p w:rsidR="00FB641E" w:rsidRPr="00FB641E" w:rsidRDefault="00FB641E" w:rsidP="00FB641E">
      <w:pPr>
        <w:jc w:val="both"/>
        <w:rPr>
          <w:lang w:val="es-MX"/>
        </w:rPr>
      </w:pPr>
    </w:p>
    <w:p w:rsidR="000C3FEC" w:rsidRDefault="000C3FEC">
      <w:pPr>
        <w:rPr>
          <w:b/>
          <w:bCs/>
          <w:szCs w:val="26"/>
          <w:highlight w:val="yellow"/>
        </w:rPr>
      </w:pPr>
      <w:r>
        <w:rPr>
          <w:highlight w:val="yellow"/>
        </w:rPr>
        <w:br w:type="page"/>
      </w:r>
    </w:p>
    <w:p w:rsidR="008F5FCE" w:rsidRPr="000C3FEC" w:rsidRDefault="008F5FCE" w:rsidP="00830795">
      <w:pPr>
        <w:pStyle w:val="Ttulo2"/>
        <w:rPr>
          <w:rFonts w:ascii="Times New Roman" w:hAnsi="Times New Roman"/>
          <w:color w:val="auto"/>
          <w:sz w:val="24"/>
        </w:rPr>
      </w:pPr>
      <w:bookmarkStart w:id="17" w:name="_Toc460422677"/>
      <w:r w:rsidRPr="000C3FEC">
        <w:rPr>
          <w:rFonts w:ascii="Times New Roman" w:hAnsi="Times New Roman"/>
          <w:color w:val="auto"/>
          <w:sz w:val="24"/>
        </w:rPr>
        <w:lastRenderedPageBreak/>
        <w:t>Crédito Púb</w:t>
      </w:r>
      <w:r w:rsidR="00C644AF">
        <w:rPr>
          <w:rFonts w:ascii="Times New Roman" w:hAnsi="Times New Roman"/>
          <w:color w:val="auto"/>
          <w:sz w:val="24"/>
        </w:rPr>
        <w:t>l</w:t>
      </w:r>
      <w:r w:rsidRPr="000C3FEC">
        <w:rPr>
          <w:rFonts w:ascii="Times New Roman" w:hAnsi="Times New Roman"/>
          <w:color w:val="auto"/>
          <w:sz w:val="24"/>
        </w:rPr>
        <w:t>ico</w:t>
      </w:r>
      <w:bookmarkEnd w:id="17"/>
    </w:p>
    <w:p w:rsidR="00830795" w:rsidRDefault="00830795" w:rsidP="00830795">
      <w:pPr>
        <w:rPr>
          <w:sz w:val="14"/>
          <w:highlight w:val="yellow"/>
        </w:rPr>
      </w:pPr>
    </w:p>
    <w:p w:rsidR="0089563E" w:rsidRPr="00A030D2" w:rsidRDefault="0089563E" w:rsidP="00830795">
      <w:pPr>
        <w:rPr>
          <w:sz w:val="14"/>
          <w:highlight w:val="yellow"/>
        </w:rPr>
      </w:pPr>
    </w:p>
    <w:p w:rsidR="0089563E" w:rsidRPr="00CC0874" w:rsidRDefault="0089563E" w:rsidP="0089563E">
      <w:pPr>
        <w:keepNext/>
        <w:keepLines/>
        <w:numPr>
          <w:ilvl w:val="1"/>
          <w:numId w:val="4"/>
        </w:numPr>
        <w:ind w:left="567" w:hanging="567"/>
        <w:outlineLvl w:val="2"/>
        <w:rPr>
          <w:b/>
          <w:bCs/>
        </w:rPr>
      </w:pPr>
      <w:bookmarkStart w:id="18" w:name="_Toc426531165"/>
      <w:bookmarkStart w:id="19" w:name="_Toc460422678"/>
      <w:r w:rsidRPr="00CC0874">
        <w:rPr>
          <w:b/>
          <w:bCs/>
        </w:rPr>
        <w:t>Indicadores de la deuda pública</w:t>
      </w:r>
      <w:bookmarkEnd w:id="18"/>
      <w:bookmarkEnd w:id="19"/>
    </w:p>
    <w:p w:rsidR="0089563E" w:rsidRPr="00CC0874" w:rsidRDefault="0089563E" w:rsidP="0089563E">
      <w:pPr>
        <w:autoSpaceDE w:val="0"/>
        <w:autoSpaceDN w:val="0"/>
        <w:adjustRightInd w:val="0"/>
        <w:jc w:val="both"/>
        <w:rPr>
          <w:sz w:val="18"/>
        </w:rPr>
      </w:pPr>
    </w:p>
    <w:p w:rsidR="0089563E" w:rsidRPr="00CC0874" w:rsidRDefault="0089563E" w:rsidP="0089563E">
      <w:pPr>
        <w:autoSpaceDE w:val="0"/>
        <w:autoSpaceDN w:val="0"/>
        <w:adjustRightInd w:val="0"/>
        <w:jc w:val="both"/>
      </w:pPr>
      <w:r w:rsidRPr="00CC0874">
        <w:t>Guatemala se mantiene en niveles aceptables de endeudamiento dado que no se ha sobrepasado los estándares internacionalmente aceptados.</w:t>
      </w:r>
    </w:p>
    <w:p w:rsidR="0089563E" w:rsidRDefault="0089563E" w:rsidP="0089563E">
      <w:pPr>
        <w:autoSpaceDE w:val="0"/>
        <w:autoSpaceDN w:val="0"/>
        <w:adjustRightInd w:val="0"/>
        <w:jc w:val="both"/>
      </w:pPr>
    </w:p>
    <w:p w:rsidR="0089563E" w:rsidRPr="009F6567" w:rsidRDefault="0089563E" w:rsidP="0089563E">
      <w:pPr>
        <w:jc w:val="center"/>
        <w:rPr>
          <w:b/>
          <w:sz w:val="22"/>
          <w:lang w:val="es-MX"/>
        </w:rPr>
      </w:pPr>
      <w:r w:rsidRPr="009F6567">
        <w:rPr>
          <w:b/>
          <w:sz w:val="22"/>
          <w:lang w:val="es-MX"/>
        </w:rPr>
        <w:t>Cuadro 1</w:t>
      </w:r>
      <w:r w:rsidR="00D04D9F">
        <w:rPr>
          <w:b/>
          <w:sz w:val="22"/>
          <w:lang w:val="es-MX"/>
        </w:rPr>
        <w:t>0</w:t>
      </w:r>
    </w:p>
    <w:p w:rsidR="0089563E" w:rsidRPr="009F6567" w:rsidRDefault="0089563E" w:rsidP="0089563E">
      <w:pPr>
        <w:jc w:val="center"/>
        <w:rPr>
          <w:b/>
          <w:sz w:val="22"/>
          <w:lang w:val="es-MX"/>
        </w:rPr>
      </w:pPr>
      <w:r w:rsidRPr="009F6567">
        <w:rPr>
          <w:b/>
          <w:sz w:val="22"/>
          <w:lang w:val="es-MX"/>
        </w:rPr>
        <w:t xml:space="preserve">Indicadores de la </w:t>
      </w:r>
      <w:r>
        <w:rPr>
          <w:b/>
          <w:sz w:val="22"/>
          <w:lang w:val="es-MX"/>
        </w:rPr>
        <w:t>D</w:t>
      </w:r>
      <w:r w:rsidRPr="009F6567">
        <w:rPr>
          <w:b/>
          <w:sz w:val="22"/>
          <w:lang w:val="es-MX"/>
        </w:rPr>
        <w:t xml:space="preserve">euda </w:t>
      </w:r>
      <w:r>
        <w:rPr>
          <w:b/>
          <w:sz w:val="22"/>
          <w:lang w:val="es-MX"/>
        </w:rPr>
        <w:t>Pú</w:t>
      </w:r>
      <w:r w:rsidRPr="009F6567">
        <w:rPr>
          <w:b/>
          <w:sz w:val="22"/>
          <w:lang w:val="es-MX"/>
        </w:rPr>
        <w:t>blica</w:t>
      </w:r>
    </w:p>
    <w:p w:rsidR="0089563E" w:rsidRPr="00DC0C1E" w:rsidRDefault="0089563E" w:rsidP="0089563E">
      <w:pPr>
        <w:jc w:val="center"/>
        <w:rPr>
          <w:i/>
          <w:sz w:val="22"/>
          <w:lang w:val="es-MX"/>
        </w:rPr>
      </w:pPr>
      <w:r w:rsidRPr="00DC0C1E">
        <w:rPr>
          <w:i/>
          <w:sz w:val="22"/>
          <w:lang w:val="es-MX"/>
        </w:rPr>
        <w:t xml:space="preserve">(Cifras en </w:t>
      </w:r>
      <w:r>
        <w:rPr>
          <w:i/>
          <w:sz w:val="22"/>
          <w:lang w:val="es-MX"/>
        </w:rPr>
        <w:t>P</w:t>
      </w:r>
      <w:r w:rsidRPr="00DC0C1E">
        <w:rPr>
          <w:i/>
          <w:sz w:val="22"/>
          <w:lang w:val="es-MX"/>
        </w:rPr>
        <w:t>orcentajes)</w:t>
      </w:r>
    </w:p>
    <w:p w:rsidR="0089563E" w:rsidRPr="009F6567" w:rsidRDefault="0089563E" w:rsidP="0089563E">
      <w:pPr>
        <w:jc w:val="center"/>
        <w:rPr>
          <w:b/>
          <w:sz w:val="8"/>
          <w:lang w:val="es-MX"/>
        </w:rPr>
      </w:pPr>
    </w:p>
    <w:tbl>
      <w:tblPr>
        <w:tblW w:w="8769" w:type="dxa"/>
        <w:jc w:val="center"/>
        <w:tblCellMar>
          <w:left w:w="70" w:type="dxa"/>
          <w:right w:w="70" w:type="dxa"/>
        </w:tblCellMar>
        <w:tblLook w:val="04A0" w:firstRow="1" w:lastRow="0" w:firstColumn="1" w:lastColumn="0" w:noHBand="0" w:noVBand="1"/>
      </w:tblPr>
      <w:tblGrid>
        <w:gridCol w:w="770"/>
        <w:gridCol w:w="1553"/>
        <w:gridCol w:w="934"/>
        <w:gridCol w:w="934"/>
        <w:gridCol w:w="934"/>
        <w:gridCol w:w="934"/>
        <w:gridCol w:w="934"/>
        <w:gridCol w:w="812"/>
        <w:gridCol w:w="964"/>
      </w:tblGrid>
      <w:tr w:rsidR="0089563E" w:rsidRPr="00CC0874" w:rsidTr="0089563E">
        <w:trPr>
          <w:trHeight w:val="367"/>
          <w:jc w:val="center"/>
        </w:trPr>
        <w:tc>
          <w:tcPr>
            <w:tcW w:w="2323" w:type="dxa"/>
            <w:gridSpan w:val="2"/>
            <w:tcBorders>
              <w:top w:val="single" w:sz="8" w:space="0" w:color="auto"/>
              <w:left w:val="single" w:sz="8" w:space="0" w:color="auto"/>
              <w:bottom w:val="single" w:sz="8" w:space="0" w:color="auto"/>
              <w:right w:val="nil"/>
            </w:tcBorders>
            <w:shd w:val="clear" w:color="000000" w:fill="8DB3E2"/>
            <w:noWrap/>
            <w:vAlign w:val="center"/>
            <w:hideMark/>
          </w:tcPr>
          <w:p w:rsidR="0089563E" w:rsidRPr="00CC0874" w:rsidRDefault="0089563E" w:rsidP="004F48BD">
            <w:pPr>
              <w:jc w:val="right"/>
              <w:rPr>
                <w:b/>
                <w:bCs/>
                <w:color w:val="000000"/>
                <w:sz w:val="18"/>
                <w:lang w:eastAsia="es-GT"/>
              </w:rPr>
            </w:pPr>
            <w:r w:rsidRPr="00CC0874">
              <w:rPr>
                <w:b/>
                <w:bCs/>
                <w:color w:val="000000"/>
                <w:sz w:val="18"/>
                <w:lang w:eastAsia="es-GT"/>
              </w:rPr>
              <w:t>Indicador</w:t>
            </w:r>
          </w:p>
        </w:tc>
        <w:tc>
          <w:tcPr>
            <w:tcW w:w="934" w:type="dxa"/>
            <w:tcBorders>
              <w:top w:val="single" w:sz="8" w:space="0" w:color="auto"/>
              <w:left w:val="nil"/>
              <w:bottom w:val="single" w:sz="8" w:space="0" w:color="auto"/>
              <w:right w:val="nil"/>
            </w:tcBorders>
            <w:shd w:val="clear" w:color="000000" w:fill="8DB3E2"/>
            <w:noWrap/>
            <w:vAlign w:val="center"/>
            <w:hideMark/>
          </w:tcPr>
          <w:p w:rsidR="0089563E" w:rsidRPr="00CC0874" w:rsidRDefault="0089563E" w:rsidP="004F48BD">
            <w:pPr>
              <w:jc w:val="right"/>
              <w:rPr>
                <w:b/>
                <w:bCs/>
                <w:color w:val="000000"/>
                <w:sz w:val="18"/>
                <w:lang w:eastAsia="es-GT"/>
              </w:rPr>
            </w:pPr>
            <w:r w:rsidRPr="00CC0874">
              <w:rPr>
                <w:b/>
                <w:bCs/>
                <w:color w:val="000000"/>
                <w:sz w:val="18"/>
                <w:lang w:eastAsia="es-GT"/>
              </w:rPr>
              <w:t>2010</w:t>
            </w:r>
          </w:p>
        </w:tc>
        <w:tc>
          <w:tcPr>
            <w:tcW w:w="934" w:type="dxa"/>
            <w:tcBorders>
              <w:top w:val="single" w:sz="8" w:space="0" w:color="auto"/>
              <w:left w:val="nil"/>
              <w:bottom w:val="single" w:sz="8" w:space="0" w:color="auto"/>
              <w:right w:val="nil"/>
            </w:tcBorders>
            <w:shd w:val="clear" w:color="000000" w:fill="8DB3E2"/>
            <w:noWrap/>
            <w:vAlign w:val="center"/>
            <w:hideMark/>
          </w:tcPr>
          <w:p w:rsidR="0089563E" w:rsidRPr="00CC0874" w:rsidRDefault="0089563E" w:rsidP="004F48BD">
            <w:pPr>
              <w:jc w:val="right"/>
              <w:rPr>
                <w:b/>
                <w:bCs/>
                <w:color w:val="000000"/>
                <w:sz w:val="18"/>
                <w:lang w:eastAsia="es-GT"/>
              </w:rPr>
            </w:pPr>
            <w:r w:rsidRPr="00CC0874">
              <w:rPr>
                <w:b/>
                <w:bCs/>
                <w:color w:val="000000"/>
                <w:sz w:val="18"/>
                <w:lang w:eastAsia="es-GT"/>
              </w:rPr>
              <w:t>2011</w:t>
            </w:r>
          </w:p>
        </w:tc>
        <w:tc>
          <w:tcPr>
            <w:tcW w:w="934" w:type="dxa"/>
            <w:tcBorders>
              <w:top w:val="single" w:sz="8" w:space="0" w:color="auto"/>
              <w:left w:val="nil"/>
              <w:bottom w:val="single" w:sz="8" w:space="0" w:color="auto"/>
              <w:right w:val="nil"/>
            </w:tcBorders>
            <w:shd w:val="clear" w:color="000000" w:fill="8DB3E2"/>
            <w:noWrap/>
            <w:vAlign w:val="center"/>
            <w:hideMark/>
          </w:tcPr>
          <w:p w:rsidR="0089563E" w:rsidRPr="00CC0874" w:rsidRDefault="0089563E" w:rsidP="004F48BD">
            <w:pPr>
              <w:jc w:val="right"/>
              <w:rPr>
                <w:b/>
                <w:bCs/>
                <w:color w:val="000000"/>
                <w:sz w:val="18"/>
                <w:lang w:eastAsia="es-GT"/>
              </w:rPr>
            </w:pPr>
            <w:r w:rsidRPr="00CC0874">
              <w:rPr>
                <w:b/>
                <w:bCs/>
                <w:color w:val="000000"/>
                <w:sz w:val="18"/>
                <w:lang w:eastAsia="es-GT"/>
              </w:rPr>
              <w:t>2012</w:t>
            </w:r>
          </w:p>
        </w:tc>
        <w:tc>
          <w:tcPr>
            <w:tcW w:w="934" w:type="dxa"/>
            <w:tcBorders>
              <w:top w:val="single" w:sz="8" w:space="0" w:color="auto"/>
              <w:left w:val="nil"/>
              <w:bottom w:val="single" w:sz="8" w:space="0" w:color="auto"/>
              <w:right w:val="nil"/>
            </w:tcBorders>
            <w:shd w:val="clear" w:color="000000" w:fill="8DB3E2"/>
            <w:noWrap/>
            <w:vAlign w:val="center"/>
            <w:hideMark/>
          </w:tcPr>
          <w:p w:rsidR="0089563E" w:rsidRPr="00CC0874" w:rsidRDefault="0089563E" w:rsidP="004F48BD">
            <w:pPr>
              <w:jc w:val="right"/>
              <w:rPr>
                <w:b/>
                <w:bCs/>
                <w:color w:val="000000"/>
                <w:sz w:val="18"/>
                <w:lang w:eastAsia="es-GT"/>
              </w:rPr>
            </w:pPr>
            <w:r w:rsidRPr="00CC0874">
              <w:rPr>
                <w:b/>
                <w:bCs/>
                <w:color w:val="000000"/>
                <w:sz w:val="18"/>
                <w:lang w:eastAsia="es-GT"/>
              </w:rPr>
              <w:t>2013</w:t>
            </w:r>
          </w:p>
        </w:tc>
        <w:tc>
          <w:tcPr>
            <w:tcW w:w="934" w:type="dxa"/>
            <w:tcBorders>
              <w:top w:val="single" w:sz="8" w:space="0" w:color="auto"/>
              <w:left w:val="nil"/>
              <w:bottom w:val="single" w:sz="8" w:space="0" w:color="auto"/>
              <w:right w:val="nil"/>
            </w:tcBorders>
            <w:shd w:val="clear" w:color="000000" w:fill="8DB3E2"/>
            <w:noWrap/>
            <w:vAlign w:val="center"/>
            <w:hideMark/>
          </w:tcPr>
          <w:p w:rsidR="0089563E" w:rsidRPr="00CC0874" w:rsidRDefault="0089563E" w:rsidP="004F48BD">
            <w:pPr>
              <w:jc w:val="right"/>
              <w:rPr>
                <w:b/>
                <w:bCs/>
                <w:color w:val="000000"/>
                <w:sz w:val="18"/>
                <w:lang w:eastAsia="es-GT"/>
              </w:rPr>
            </w:pPr>
            <w:r w:rsidRPr="00CC0874">
              <w:rPr>
                <w:b/>
                <w:bCs/>
                <w:color w:val="000000"/>
                <w:sz w:val="18"/>
                <w:lang w:eastAsia="es-GT"/>
              </w:rPr>
              <w:t>2014</w:t>
            </w:r>
          </w:p>
        </w:tc>
        <w:tc>
          <w:tcPr>
            <w:tcW w:w="812" w:type="dxa"/>
            <w:tcBorders>
              <w:top w:val="single" w:sz="8" w:space="0" w:color="auto"/>
              <w:left w:val="nil"/>
              <w:bottom w:val="single" w:sz="8" w:space="0" w:color="auto"/>
              <w:right w:val="nil"/>
            </w:tcBorders>
            <w:shd w:val="clear" w:color="000000" w:fill="8DB3E2"/>
            <w:vAlign w:val="center"/>
          </w:tcPr>
          <w:p w:rsidR="0089563E" w:rsidRPr="00CC0874" w:rsidRDefault="0089563E" w:rsidP="004F48BD">
            <w:pPr>
              <w:jc w:val="right"/>
              <w:rPr>
                <w:b/>
                <w:bCs/>
                <w:color w:val="000000"/>
                <w:sz w:val="18"/>
                <w:lang w:eastAsia="es-GT"/>
              </w:rPr>
            </w:pPr>
            <w:r w:rsidRPr="00CC0874">
              <w:rPr>
                <w:b/>
                <w:bCs/>
                <w:color w:val="000000"/>
                <w:sz w:val="18"/>
                <w:lang w:eastAsia="es-GT"/>
              </w:rPr>
              <w:t>2015</w:t>
            </w:r>
          </w:p>
        </w:tc>
        <w:tc>
          <w:tcPr>
            <w:tcW w:w="964" w:type="dxa"/>
            <w:tcBorders>
              <w:top w:val="single" w:sz="8" w:space="0" w:color="auto"/>
              <w:left w:val="nil"/>
              <w:bottom w:val="single" w:sz="8" w:space="0" w:color="auto"/>
              <w:right w:val="single" w:sz="8" w:space="0" w:color="auto"/>
            </w:tcBorders>
            <w:shd w:val="clear" w:color="000000" w:fill="8DB3E2"/>
            <w:noWrap/>
            <w:vAlign w:val="center"/>
            <w:hideMark/>
          </w:tcPr>
          <w:p w:rsidR="0089563E" w:rsidRPr="00CC0874" w:rsidRDefault="0089563E" w:rsidP="004F48BD">
            <w:pPr>
              <w:jc w:val="right"/>
              <w:rPr>
                <w:b/>
                <w:bCs/>
                <w:color w:val="000000"/>
                <w:sz w:val="18"/>
                <w:lang w:eastAsia="es-GT"/>
              </w:rPr>
            </w:pPr>
            <w:r w:rsidRPr="00CC0874">
              <w:rPr>
                <w:b/>
                <w:bCs/>
                <w:color w:val="000000"/>
                <w:sz w:val="18"/>
                <w:lang w:eastAsia="es-GT"/>
              </w:rPr>
              <w:t>2016</w:t>
            </w:r>
          </w:p>
        </w:tc>
      </w:tr>
      <w:tr w:rsidR="0089563E" w:rsidRPr="00CC0874" w:rsidTr="0089563E">
        <w:trPr>
          <w:trHeight w:val="265"/>
          <w:jc w:val="center"/>
        </w:trPr>
        <w:tc>
          <w:tcPr>
            <w:tcW w:w="2323" w:type="dxa"/>
            <w:gridSpan w:val="2"/>
            <w:tcBorders>
              <w:top w:val="single" w:sz="8" w:space="0" w:color="auto"/>
              <w:left w:val="single" w:sz="8" w:space="0" w:color="auto"/>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Saldo deuda pública / PIB</w:t>
            </w:r>
          </w:p>
        </w:tc>
        <w:tc>
          <w:tcPr>
            <w:tcW w:w="934" w:type="dxa"/>
            <w:tcBorders>
              <w:top w:val="single" w:sz="8" w:space="0" w:color="auto"/>
              <w:left w:val="nil"/>
              <w:bottom w:val="nil"/>
              <w:right w:val="nil"/>
            </w:tcBorders>
            <w:shd w:val="clear" w:color="000000" w:fill="FFFFFF"/>
            <w:noWrap/>
            <w:vAlign w:val="center"/>
            <w:hideMark/>
          </w:tcPr>
          <w:p w:rsidR="0089563E" w:rsidRPr="00CC0874" w:rsidRDefault="0089563E" w:rsidP="004F48BD">
            <w:pPr>
              <w:jc w:val="right"/>
              <w:rPr>
                <w:color w:val="000000"/>
                <w:sz w:val="18"/>
                <w:lang w:eastAsia="es-GT"/>
              </w:rPr>
            </w:pPr>
            <w:r w:rsidRPr="00CC0874">
              <w:rPr>
                <w:color w:val="000000"/>
                <w:sz w:val="18"/>
                <w:lang w:eastAsia="es-GT"/>
              </w:rPr>
              <w:t>24.4%</w:t>
            </w:r>
          </w:p>
        </w:tc>
        <w:tc>
          <w:tcPr>
            <w:tcW w:w="934" w:type="dxa"/>
            <w:tcBorders>
              <w:top w:val="single" w:sz="8" w:space="0" w:color="auto"/>
              <w:left w:val="nil"/>
              <w:bottom w:val="nil"/>
              <w:right w:val="nil"/>
            </w:tcBorders>
            <w:shd w:val="clear" w:color="000000" w:fill="FFFFFF"/>
            <w:noWrap/>
            <w:vAlign w:val="center"/>
            <w:hideMark/>
          </w:tcPr>
          <w:p w:rsidR="0089563E" w:rsidRPr="00CC0874" w:rsidRDefault="0089563E" w:rsidP="004F48BD">
            <w:pPr>
              <w:jc w:val="right"/>
              <w:rPr>
                <w:color w:val="000000"/>
                <w:sz w:val="18"/>
                <w:lang w:eastAsia="es-GT"/>
              </w:rPr>
            </w:pPr>
            <w:r w:rsidRPr="00CC0874">
              <w:rPr>
                <w:color w:val="000000"/>
                <w:sz w:val="18"/>
                <w:lang w:eastAsia="es-GT"/>
              </w:rPr>
              <w:t>24.2%</w:t>
            </w:r>
          </w:p>
        </w:tc>
        <w:tc>
          <w:tcPr>
            <w:tcW w:w="934" w:type="dxa"/>
            <w:tcBorders>
              <w:top w:val="single" w:sz="8" w:space="0" w:color="auto"/>
              <w:left w:val="nil"/>
              <w:bottom w:val="nil"/>
              <w:right w:val="nil"/>
            </w:tcBorders>
            <w:shd w:val="clear" w:color="000000" w:fill="FFFFFF"/>
            <w:noWrap/>
            <w:vAlign w:val="center"/>
            <w:hideMark/>
          </w:tcPr>
          <w:p w:rsidR="0089563E" w:rsidRPr="00CC0874" w:rsidRDefault="0089563E" w:rsidP="004F48BD">
            <w:pPr>
              <w:jc w:val="right"/>
              <w:rPr>
                <w:color w:val="000000"/>
                <w:sz w:val="18"/>
                <w:lang w:eastAsia="es-GT"/>
              </w:rPr>
            </w:pPr>
            <w:r w:rsidRPr="00CC0874">
              <w:rPr>
                <w:color w:val="000000"/>
                <w:sz w:val="18"/>
                <w:lang w:eastAsia="es-GT"/>
              </w:rPr>
              <w:t>24.6%</w:t>
            </w:r>
          </w:p>
        </w:tc>
        <w:tc>
          <w:tcPr>
            <w:tcW w:w="934" w:type="dxa"/>
            <w:tcBorders>
              <w:top w:val="single" w:sz="8" w:space="0" w:color="auto"/>
              <w:left w:val="nil"/>
              <w:bottom w:val="nil"/>
              <w:right w:val="nil"/>
            </w:tcBorders>
            <w:shd w:val="clear" w:color="000000" w:fill="FFFFFF"/>
            <w:noWrap/>
            <w:vAlign w:val="center"/>
            <w:hideMark/>
          </w:tcPr>
          <w:p w:rsidR="0089563E" w:rsidRPr="00CC0874" w:rsidRDefault="0089563E" w:rsidP="004F48BD">
            <w:pPr>
              <w:jc w:val="right"/>
              <w:rPr>
                <w:color w:val="000000"/>
                <w:sz w:val="18"/>
                <w:lang w:eastAsia="es-GT"/>
              </w:rPr>
            </w:pPr>
            <w:r w:rsidRPr="00CC0874">
              <w:rPr>
                <w:color w:val="000000"/>
                <w:sz w:val="18"/>
                <w:lang w:eastAsia="es-GT"/>
              </w:rPr>
              <w:t>24.8%</w:t>
            </w:r>
          </w:p>
        </w:tc>
        <w:tc>
          <w:tcPr>
            <w:tcW w:w="934" w:type="dxa"/>
            <w:tcBorders>
              <w:top w:val="single" w:sz="8" w:space="0" w:color="auto"/>
              <w:left w:val="nil"/>
              <w:bottom w:val="nil"/>
              <w:right w:val="nil"/>
            </w:tcBorders>
            <w:shd w:val="clear" w:color="000000" w:fill="FFFFFF"/>
            <w:noWrap/>
            <w:vAlign w:val="center"/>
            <w:hideMark/>
          </w:tcPr>
          <w:p w:rsidR="0089563E" w:rsidRPr="00CC0874" w:rsidRDefault="0089563E" w:rsidP="004F48BD">
            <w:pPr>
              <w:jc w:val="right"/>
              <w:rPr>
                <w:color w:val="000000"/>
                <w:sz w:val="18"/>
                <w:lang w:eastAsia="es-GT"/>
              </w:rPr>
            </w:pPr>
            <w:r w:rsidRPr="00CC0874">
              <w:rPr>
                <w:color w:val="000000"/>
                <w:sz w:val="18"/>
                <w:lang w:eastAsia="es-GT"/>
              </w:rPr>
              <w:t>24.4%</w:t>
            </w:r>
          </w:p>
        </w:tc>
        <w:tc>
          <w:tcPr>
            <w:tcW w:w="812" w:type="dxa"/>
            <w:tcBorders>
              <w:top w:val="single" w:sz="8" w:space="0" w:color="auto"/>
              <w:left w:val="nil"/>
              <w:bottom w:val="nil"/>
              <w:right w:val="nil"/>
            </w:tcBorders>
            <w:shd w:val="clear" w:color="000000" w:fill="FFFFFF"/>
            <w:vAlign w:val="center"/>
          </w:tcPr>
          <w:p w:rsidR="0089563E" w:rsidRPr="00CC0874" w:rsidRDefault="0089563E" w:rsidP="004F48BD">
            <w:pPr>
              <w:jc w:val="right"/>
              <w:rPr>
                <w:color w:val="000000"/>
                <w:sz w:val="18"/>
                <w:lang w:eastAsia="es-GT"/>
              </w:rPr>
            </w:pPr>
            <w:r w:rsidRPr="00CC0874">
              <w:rPr>
                <w:color w:val="000000"/>
                <w:sz w:val="18"/>
                <w:lang w:eastAsia="es-GT"/>
              </w:rPr>
              <w:t>24.2%</w:t>
            </w:r>
          </w:p>
        </w:tc>
        <w:tc>
          <w:tcPr>
            <w:tcW w:w="964" w:type="dxa"/>
            <w:tcBorders>
              <w:top w:val="single" w:sz="8" w:space="0" w:color="auto"/>
              <w:left w:val="nil"/>
              <w:bottom w:val="nil"/>
              <w:right w:val="single" w:sz="8" w:space="0" w:color="auto"/>
            </w:tcBorders>
            <w:shd w:val="clear" w:color="000000" w:fill="FFFFFF"/>
            <w:noWrap/>
            <w:vAlign w:val="center"/>
            <w:hideMark/>
          </w:tcPr>
          <w:p w:rsidR="0089563E" w:rsidRPr="00CC0874" w:rsidRDefault="0089563E" w:rsidP="004F48BD">
            <w:pPr>
              <w:jc w:val="right"/>
              <w:rPr>
                <w:color w:val="000000"/>
                <w:sz w:val="18"/>
                <w:lang w:eastAsia="es-GT"/>
              </w:rPr>
            </w:pPr>
            <w:r w:rsidRPr="00CC0874">
              <w:rPr>
                <w:color w:val="000000"/>
                <w:sz w:val="18"/>
                <w:lang w:eastAsia="es-GT"/>
              </w:rPr>
              <w:t>24.0%</w:t>
            </w:r>
          </w:p>
        </w:tc>
      </w:tr>
      <w:tr w:rsidR="0089563E" w:rsidRPr="00CC0874" w:rsidTr="0089563E">
        <w:trPr>
          <w:trHeight w:val="793"/>
          <w:jc w:val="center"/>
        </w:trPr>
        <w:tc>
          <w:tcPr>
            <w:tcW w:w="2323" w:type="dxa"/>
            <w:gridSpan w:val="2"/>
            <w:tcBorders>
              <w:top w:val="nil"/>
              <w:left w:val="single" w:sz="8" w:space="0" w:color="auto"/>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Saldo deuda externa / Exportaciones de bienes y servicios</w:t>
            </w:r>
            <w:r w:rsidRPr="00CC0874">
              <w:rPr>
                <w:color w:val="000000"/>
                <w:sz w:val="18"/>
                <w:vertAlign w:val="superscript"/>
                <w:lang w:eastAsia="es-GT"/>
              </w:rPr>
              <w:t>/1</w:t>
            </w:r>
          </w:p>
        </w:tc>
        <w:tc>
          <w:tcPr>
            <w:tcW w:w="934" w:type="dxa"/>
            <w:tcBorders>
              <w:top w:val="nil"/>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49.8%</w:t>
            </w:r>
          </w:p>
        </w:tc>
        <w:tc>
          <w:tcPr>
            <w:tcW w:w="934" w:type="dxa"/>
            <w:tcBorders>
              <w:top w:val="nil"/>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43.9%</w:t>
            </w:r>
          </w:p>
        </w:tc>
        <w:tc>
          <w:tcPr>
            <w:tcW w:w="934" w:type="dxa"/>
            <w:tcBorders>
              <w:top w:val="nil"/>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49.0%</w:t>
            </w:r>
          </w:p>
        </w:tc>
        <w:tc>
          <w:tcPr>
            <w:tcW w:w="934" w:type="dxa"/>
            <w:tcBorders>
              <w:top w:val="nil"/>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53.7%</w:t>
            </w:r>
          </w:p>
        </w:tc>
        <w:tc>
          <w:tcPr>
            <w:tcW w:w="934" w:type="dxa"/>
            <w:tcBorders>
              <w:top w:val="nil"/>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53.9%</w:t>
            </w:r>
          </w:p>
        </w:tc>
        <w:tc>
          <w:tcPr>
            <w:tcW w:w="812" w:type="dxa"/>
            <w:tcBorders>
              <w:top w:val="nil"/>
              <w:left w:val="nil"/>
              <w:bottom w:val="nil"/>
              <w:right w:val="nil"/>
            </w:tcBorders>
            <w:vAlign w:val="center"/>
          </w:tcPr>
          <w:p w:rsidR="0089563E" w:rsidRPr="00CC0874" w:rsidRDefault="0089563E" w:rsidP="004F48BD">
            <w:pPr>
              <w:jc w:val="right"/>
              <w:rPr>
                <w:color w:val="000000"/>
                <w:sz w:val="18"/>
                <w:lang w:eastAsia="es-GT"/>
              </w:rPr>
            </w:pPr>
            <w:r w:rsidRPr="00CC0874">
              <w:rPr>
                <w:color w:val="000000"/>
                <w:sz w:val="18"/>
                <w:lang w:eastAsia="es-GT"/>
              </w:rPr>
              <w:t>55.2%</w:t>
            </w:r>
          </w:p>
        </w:tc>
        <w:tc>
          <w:tcPr>
            <w:tcW w:w="964" w:type="dxa"/>
            <w:tcBorders>
              <w:top w:val="nil"/>
              <w:left w:val="nil"/>
              <w:bottom w:val="nil"/>
              <w:right w:val="single" w:sz="8" w:space="0" w:color="auto"/>
            </w:tcBorders>
            <w:shd w:val="clear" w:color="auto" w:fill="auto"/>
            <w:vAlign w:val="center"/>
            <w:hideMark/>
          </w:tcPr>
          <w:p w:rsidR="0089563E" w:rsidRPr="00CC0874" w:rsidRDefault="0089563E" w:rsidP="004F48BD">
            <w:pPr>
              <w:jc w:val="right"/>
              <w:rPr>
                <w:b/>
                <w:color w:val="000000"/>
                <w:sz w:val="18"/>
                <w:lang w:eastAsia="es-GT"/>
              </w:rPr>
            </w:pPr>
            <w:r w:rsidRPr="00CC0874">
              <w:rPr>
                <w:color w:val="000000"/>
                <w:sz w:val="18"/>
                <w:lang w:eastAsia="es-GT"/>
              </w:rPr>
              <w:t>58.7%</w:t>
            </w:r>
            <w:r w:rsidRPr="00173EAE">
              <w:rPr>
                <w:color w:val="000000"/>
                <w:sz w:val="18"/>
                <w:vertAlign w:val="superscript"/>
                <w:lang w:eastAsia="es-GT"/>
              </w:rPr>
              <w:t>1</w:t>
            </w:r>
          </w:p>
        </w:tc>
      </w:tr>
      <w:tr w:rsidR="0089563E" w:rsidRPr="00CC0874" w:rsidTr="0089563E">
        <w:trPr>
          <w:trHeight w:val="529"/>
          <w:jc w:val="center"/>
        </w:trPr>
        <w:tc>
          <w:tcPr>
            <w:tcW w:w="2323" w:type="dxa"/>
            <w:gridSpan w:val="2"/>
            <w:tcBorders>
              <w:top w:val="nil"/>
              <w:left w:val="single" w:sz="8" w:space="0" w:color="auto"/>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Saldo deuda Admón. Central / Ingresos totales</w:t>
            </w:r>
            <w:r w:rsidRPr="00CC0874">
              <w:rPr>
                <w:color w:val="000000"/>
                <w:sz w:val="18"/>
                <w:vertAlign w:val="superscript"/>
                <w:lang w:eastAsia="es-GT"/>
              </w:rPr>
              <w:t>/2</w:t>
            </w:r>
          </w:p>
        </w:tc>
        <w:tc>
          <w:tcPr>
            <w:tcW w:w="934" w:type="dxa"/>
            <w:tcBorders>
              <w:top w:val="nil"/>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214.5%</w:t>
            </w:r>
          </w:p>
        </w:tc>
        <w:tc>
          <w:tcPr>
            <w:tcW w:w="934" w:type="dxa"/>
            <w:tcBorders>
              <w:top w:val="nil"/>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206.2%</w:t>
            </w:r>
          </w:p>
        </w:tc>
        <w:tc>
          <w:tcPr>
            <w:tcW w:w="934" w:type="dxa"/>
            <w:tcBorders>
              <w:top w:val="nil"/>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209.4%</w:t>
            </w:r>
          </w:p>
        </w:tc>
        <w:tc>
          <w:tcPr>
            <w:tcW w:w="934" w:type="dxa"/>
            <w:tcBorders>
              <w:top w:val="nil"/>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211.3%</w:t>
            </w:r>
          </w:p>
        </w:tc>
        <w:tc>
          <w:tcPr>
            <w:tcW w:w="934" w:type="dxa"/>
            <w:tcBorders>
              <w:top w:val="nil"/>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211.1%</w:t>
            </w:r>
          </w:p>
        </w:tc>
        <w:tc>
          <w:tcPr>
            <w:tcW w:w="812" w:type="dxa"/>
            <w:tcBorders>
              <w:top w:val="nil"/>
              <w:left w:val="nil"/>
              <w:bottom w:val="nil"/>
              <w:right w:val="nil"/>
            </w:tcBorders>
            <w:shd w:val="clear" w:color="000000" w:fill="FFFFFF"/>
            <w:vAlign w:val="center"/>
          </w:tcPr>
          <w:p w:rsidR="0089563E" w:rsidRPr="00CC0874" w:rsidRDefault="0089563E" w:rsidP="004F48BD">
            <w:pPr>
              <w:jc w:val="right"/>
              <w:rPr>
                <w:color w:val="000000"/>
                <w:sz w:val="18"/>
                <w:lang w:eastAsia="es-GT"/>
              </w:rPr>
            </w:pPr>
            <w:r w:rsidRPr="00CC0874">
              <w:rPr>
                <w:color w:val="000000"/>
                <w:sz w:val="18"/>
                <w:lang w:eastAsia="es-GT"/>
              </w:rPr>
              <w:t>223.3%</w:t>
            </w:r>
          </w:p>
        </w:tc>
        <w:tc>
          <w:tcPr>
            <w:tcW w:w="964" w:type="dxa"/>
            <w:tcBorders>
              <w:top w:val="nil"/>
              <w:left w:val="nil"/>
              <w:bottom w:val="nil"/>
              <w:right w:val="single" w:sz="8" w:space="0" w:color="auto"/>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234.1%</w:t>
            </w:r>
          </w:p>
        </w:tc>
      </w:tr>
      <w:tr w:rsidR="0089563E" w:rsidRPr="00CC0874" w:rsidTr="0089563E">
        <w:trPr>
          <w:trHeight w:val="277"/>
          <w:jc w:val="center"/>
        </w:trPr>
        <w:tc>
          <w:tcPr>
            <w:tcW w:w="2323" w:type="dxa"/>
            <w:gridSpan w:val="2"/>
            <w:tcBorders>
              <w:top w:val="nil"/>
              <w:left w:val="single" w:sz="8" w:space="0" w:color="auto"/>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Saldo deuda / Ingresos totales</w:t>
            </w:r>
            <w:r w:rsidRPr="00CC0874">
              <w:rPr>
                <w:color w:val="000000"/>
                <w:sz w:val="18"/>
                <w:vertAlign w:val="superscript"/>
                <w:lang w:eastAsia="es-GT"/>
              </w:rPr>
              <w:t>/2</w:t>
            </w:r>
          </w:p>
        </w:tc>
        <w:tc>
          <w:tcPr>
            <w:tcW w:w="934" w:type="dxa"/>
            <w:tcBorders>
              <w:top w:val="nil"/>
              <w:left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217.4%</w:t>
            </w:r>
          </w:p>
        </w:tc>
        <w:tc>
          <w:tcPr>
            <w:tcW w:w="934" w:type="dxa"/>
            <w:tcBorders>
              <w:top w:val="nil"/>
              <w:left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208.4%</w:t>
            </w:r>
          </w:p>
        </w:tc>
        <w:tc>
          <w:tcPr>
            <w:tcW w:w="934" w:type="dxa"/>
            <w:tcBorders>
              <w:top w:val="nil"/>
              <w:left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211.4%</w:t>
            </w:r>
          </w:p>
        </w:tc>
        <w:tc>
          <w:tcPr>
            <w:tcW w:w="934" w:type="dxa"/>
            <w:tcBorders>
              <w:top w:val="nil"/>
              <w:left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212.8%</w:t>
            </w:r>
          </w:p>
        </w:tc>
        <w:tc>
          <w:tcPr>
            <w:tcW w:w="934" w:type="dxa"/>
            <w:tcBorders>
              <w:top w:val="nil"/>
              <w:left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212.4%</w:t>
            </w:r>
          </w:p>
        </w:tc>
        <w:tc>
          <w:tcPr>
            <w:tcW w:w="812" w:type="dxa"/>
            <w:tcBorders>
              <w:top w:val="nil"/>
              <w:left w:val="nil"/>
              <w:right w:val="nil"/>
            </w:tcBorders>
            <w:shd w:val="clear" w:color="000000" w:fill="FFFFFF"/>
            <w:vAlign w:val="center"/>
          </w:tcPr>
          <w:p w:rsidR="0089563E" w:rsidRPr="00CC0874" w:rsidRDefault="0089563E" w:rsidP="004F48BD">
            <w:pPr>
              <w:jc w:val="right"/>
              <w:rPr>
                <w:color w:val="000000"/>
                <w:sz w:val="18"/>
                <w:lang w:eastAsia="es-GT"/>
              </w:rPr>
            </w:pPr>
            <w:r w:rsidRPr="00CC0874">
              <w:rPr>
                <w:color w:val="000000"/>
                <w:sz w:val="18"/>
                <w:lang w:eastAsia="es-GT"/>
              </w:rPr>
              <w:t>224.3%</w:t>
            </w:r>
          </w:p>
        </w:tc>
        <w:tc>
          <w:tcPr>
            <w:tcW w:w="964" w:type="dxa"/>
            <w:tcBorders>
              <w:top w:val="nil"/>
              <w:left w:val="nil"/>
              <w:right w:val="single" w:sz="8" w:space="0" w:color="auto"/>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236.1%</w:t>
            </w:r>
          </w:p>
        </w:tc>
      </w:tr>
      <w:tr w:rsidR="0089563E" w:rsidRPr="00CC0874" w:rsidTr="0089563E">
        <w:trPr>
          <w:trHeight w:val="462"/>
          <w:jc w:val="center"/>
        </w:trPr>
        <w:tc>
          <w:tcPr>
            <w:tcW w:w="770" w:type="dxa"/>
            <w:tcBorders>
              <w:left w:val="single" w:sz="4" w:space="0" w:color="auto"/>
            </w:tcBorders>
            <w:shd w:val="clear" w:color="auto" w:fill="auto"/>
            <w:vAlign w:val="center"/>
          </w:tcPr>
          <w:p w:rsidR="0089563E" w:rsidRPr="00CC0874" w:rsidRDefault="0089563E" w:rsidP="004F48BD">
            <w:pPr>
              <w:jc w:val="right"/>
              <w:rPr>
                <w:b/>
                <w:bCs/>
                <w:color w:val="000000"/>
                <w:sz w:val="18"/>
                <w:lang w:eastAsia="es-GT"/>
              </w:rPr>
            </w:pPr>
          </w:p>
        </w:tc>
        <w:tc>
          <w:tcPr>
            <w:tcW w:w="7999" w:type="dxa"/>
            <w:gridSpan w:val="8"/>
            <w:tcBorders>
              <w:right w:val="single" w:sz="4" w:space="0" w:color="auto"/>
            </w:tcBorders>
            <w:shd w:val="clear" w:color="auto" w:fill="auto"/>
            <w:noWrap/>
            <w:vAlign w:val="center"/>
            <w:hideMark/>
          </w:tcPr>
          <w:p w:rsidR="0089563E" w:rsidRPr="005D73C4" w:rsidRDefault="0089563E" w:rsidP="004F48BD">
            <w:pPr>
              <w:rPr>
                <w:bCs/>
                <w:i/>
                <w:color w:val="000000"/>
                <w:sz w:val="18"/>
                <w:lang w:eastAsia="es-GT"/>
              </w:rPr>
            </w:pPr>
            <w:r w:rsidRPr="005D73C4">
              <w:rPr>
                <w:bCs/>
                <w:i/>
                <w:color w:val="000000"/>
                <w:sz w:val="18"/>
                <w:lang w:eastAsia="es-GT"/>
              </w:rPr>
              <w:t>Indicadores de liquidez</w:t>
            </w:r>
          </w:p>
        </w:tc>
      </w:tr>
      <w:tr w:rsidR="0089563E" w:rsidRPr="00CC0874" w:rsidTr="0089563E">
        <w:trPr>
          <w:trHeight w:val="830"/>
          <w:jc w:val="center"/>
        </w:trPr>
        <w:tc>
          <w:tcPr>
            <w:tcW w:w="2323" w:type="dxa"/>
            <w:gridSpan w:val="2"/>
            <w:tcBorders>
              <w:left w:val="single" w:sz="4" w:space="0" w:color="auto"/>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Servicio deuda externa / Exportaciones de bienes y servicios</w:t>
            </w:r>
            <w:r w:rsidRPr="00CC0874">
              <w:rPr>
                <w:color w:val="000000"/>
                <w:sz w:val="18"/>
                <w:vertAlign w:val="superscript"/>
                <w:lang w:eastAsia="es-GT"/>
              </w:rPr>
              <w:t>/1</w:t>
            </w:r>
          </w:p>
        </w:tc>
        <w:tc>
          <w:tcPr>
            <w:tcW w:w="934" w:type="dxa"/>
            <w:tcBorders>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4.7%</w:t>
            </w:r>
          </w:p>
        </w:tc>
        <w:tc>
          <w:tcPr>
            <w:tcW w:w="934" w:type="dxa"/>
            <w:tcBorders>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6.6%</w:t>
            </w:r>
          </w:p>
        </w:tc>
        <w:tc>
          <w:tcPr>
            <w:tcW w:w="934" w:type="dxa"/>
            <w:tcBorders>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4.1%</w:t>
            </w:r>
          </w:p>
        </w:tc>
        <w:tc>
          <w:tcPr>
            <w:tcW w:w="934" w:type="dxa"/>
            <w:tcBorders>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4.5%</w:t>
            </w:r>
          </w:p>
        </w:tc>
        <w:tc>
          <w:tcPr>
            <w:tcW w:w="934" w:type="dxa"/>
            <w:tcBorders>
              <w:left w:val="nil"/>
              <w:bottom w:val="nil"/>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4.2%</w:t>
            </w:r>
          </w:p>
        </w:tc>
        <w:tc>
          <w:tcPr>
            <w:tcW w:w="812" w:type="dxa"/>
            <w:tcBorders>
              <w:left w:val="nil"/>
              <w:bottom w:val="nil"/>
              <w:right w:val="nil"/>
            </w:tcBorders>
            <w:shd w:val="clear" w:color="000000" w:fill="FFFFFF"/>
            <w:vAlign w:val="center"/>
          </w:tcPr>
          <w:p w:rsidR="0089563E" w:rsidRPr="00CC0874" w:rsidRDefault="0089563E" w:rsidP="004F48BD">
            <w:pPr>
              <w:jc w:val="right"/>
              <w:rPr>
                <w:color w:val="000000"/>
                <w:sz w:val="18"/>
                <w:lang w:eastAsia="es-GT"/>
              </w:rPr>
            </w:pPr>
            <w:r w:rsidRPr="00CC0874">
              <w:rPr>
                <w:color w:val="000000"/>
                <w:sz w:val="18"/>
                <w:lang w:eastAsia="es-GT"/>
              </w:rPr>
              <w:t>5.0%</w:t>
            </w:r>
          </w:p>
        </w:tc>
        <w:tc>
          <w:tcPr>
            <w:tcW w:w="964" w:type="dxa"/>
            <w:tcBorders>
              <w:left w:val="nil"/>
              <w:bottom w:val="nil"/>
              <w:right w:val="single" w:sz="4" w:space="0" w:color="auto"/>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2.5%</w:t>
            </w:r>
          </w:p>
        </w:tc>
      </w:tr>
      <w:tr w:rsidR="0089563E" w:rsidRPr="00CC0874" w:rsidTr="0089563E">
        <w:trPr>
          <w:trHeight w:val="688"/>
          <w:jc w:val="center"/>
        </w:trPr>
        <w:tc>
          <w:tcPr>
            <w:tcW w:w="2323" w:type="dxa"/>
            <w:gridSpan w:val="2"/>
            <w:tcBorders>
              <w:top w:val="nil"/>
              <w:left w:val="single" w:sz="8" w:space="0" w:color="auto"/>
              <w:bottom w:val="single" w:sz="8" w:space="0" w:color="auto"/>
              <w:right w:val="nil"/>
            </w:tcBorders>
            <w:shd w:val="clear" w:color="000000" w:fill="FFFFFF"/>
            <w:vAlign w:val="center"/>
            <w:hideMark/>
          </w:tcPr>
          <w:p w:rsidR="0089563E" w:rsidRPr="00CC0874" w:rsidRDefault="0089563E" w:rsidP="004F48BD">
            <w:pPr>
              <w:jc w:val="right"/>
              <w:rPr>
                <w:color w:val="000000"/>
                <w:sz w:val="18"/>
                <w:vertAlign w:val="superscript"/>
                <w:lang w:eastAsia="es-GT"/>
              </w:rPr>
            </w:pPr>
            <w:r w:rsidRPr="00CC0874">
              <w:rPr>
                <w:color w:val="000000"/>
                <w:sz w:val="18"/>
                <w:lang w:eastAsia="es-GT"/>
              </w:rPr>
              <w:t>Servicio de deuda / Ingresos totales</w:t>
            </w:r>
            <w:r w:rsidRPr="00CC0874">
              <w:rPr>
                <w:color w:val="000000"/>
                <w:sz w:val="18"/>
                <w:vertAlign w:val="superscript"/>
                <w:lang w:eastAsia="es-GT"/>
              </w:rPr>
              <w:t>/2</w:t>
            </w:r>
          </w:p>
        </w:tc>
        <w:tc>
          <w:tcPr>
            <w:tcW w:w="934" w:type="dxa"/>
            <w:tcBorders>
              <w:top w:val="nil"/>
              <w:left w:val="nil"/>
              <w:bottom w:val="single" w:sz="8" w:space="0" w:color="auto"/>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18.6%</w:t>
            </w:r>
          </w:p>
        </w:tc>
        <w:tc>
          <w:tcPr>
            <w:tcW w:w="934" w:type="dxa"/>
            <w:tcBorders>
              <w:top w:val="nil"/>
              <w:left w:val="nil"/>
              <w:bottom w:val="single" w:sz="8" w:space="0" w:color="auto"/>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23.4%</w:t>
            </w:r>
          </w:p>
        </w:tc>
        <w:tc>
          <w:tcPr>
            <w:tcW w:w="934" w:type="dxa"/>
            <w:tcBorders>
              <w:top w:val="nil"/>
              <w:left w:val="nil"/>
              <w:bottom w:val="single" w:sz="8" w:space="0" w:color="auto"/>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18.3%</w:t>
            </w:r>
          </w:p>
        </w:tc>
        <w:tc>
          <w:tcPr>
            <w:tcW w:w="934" w:type="dxa"/>
            <w:tcBorders>
              <w:top w:val="nil"/>
              <w:left w:val="nil"/>
              <w:bottom w:val="single" w:sz="8" w:space="0" w:color="auto"/>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17.9%</w:t>
            </w:r>
          </w:p>
        </w:tc>
        <w:tc>
          <w:tcPr>
            <w:tcW w:w="934" w:type="dxa"/>
            <w:tcBorders>
              <w:top w:val="nil"/>
              <w:left w:val="nil"/>
              <w:bottom w:val="single" w:sz="8" w:space="0" w:color="auto"/>
              <w:right w:val="nil"/>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17.1%</w:t>
            </w:r>
          </w:p>
        </w:tc>
        <w:tc>
          <w:tcPr>
            <w:tcW w:w="812" w:type="dxa"/>
            <w:tcBorders>
              <w:top w:val="nil"/>
              <w:left w:val="nil"/>
              <w:bottom w:val="single" w:sz="8" w:space="0" w:color="auto"/>
              <w:right w:val="nil"/>
            </w:tcBorders>
            <w:shd w:val="clear" w:color="000000" w:fill="FFFFFF"/>
            <w:vAlign w:val="center"/>
          </w:tcPr>
          <w:p w:rsidR="0089563E" w:rsidRPr="00CC0874" w:rsidRDefault="0089563E" w:rsidP="004F48BD">
            <w:pPr>
              <w:jc w:val="right"/>
              <w:rPr>
                <w:color w:val="000000"/>
                <w:sz w:val="18"/>
                <w:lang w:eastAsia="es-GT"/>
              </w:rPr>
            </w:pPr>
            <w:r w:rsidRPr="00CC0874">
              <w:rPr>
                <w:color w:val="000000"/>
                <w:sz w:val="18"/>
                <w:lang w:eastAsia="es-GT"/>
              </w:rPr>
              <w:t>19.3%</w:t>
            </w:r>
          </w:p>
        </w:tc>
        <w:tc>
          <w:tcPr>
            <w:tcW w:w="964" w:type="dxa"/>
            <w:tcBorders>
              <w:top w:val="nil"/>
              <w:left w:val="nil"/>
              <w:bottom w:val="single" w:sz="8" w:space="0" w:color="auto"/>
              <w:right w:val="single" w:sz="8" w:space="0" w:color="auto"/>
            </w:tcBorders>
            <w:shd w:val="clear" w:color="000000" w:fill="FFFFFF"/>
            <w:vAlign w:val="center"/>
            <w:hideMark/>
          </w:tcPr>
          <w:p w:rsidR="0089563E" w:rsidRPr="00CC0874" w:rsidRDefault="0089563E" w:rsidP="004F48BD">
            <w:pPr>
              <w:jc w:val="right"/>
              <w:rPr>
                <w:color w:val="000000"/>
                <w:sz w:val="18"/>
                <w:lang w:eastAsia="es-GT"/>
              </w:rPr>
            </w:pPr>
            <w:r w:rsidRPr="00CC0874">
              <w:rPr>
                <w:color w:val="000000"/>
                <w:sz w:val="18"/>
                <w:lang w:eastAsia="es-GT"/>
              </w:rPr>
              <w:t>19.5%</w:t>
            </w:r>
          </w:p>
        </w:tc>
      </w:tr>
    </w:tbl>
    <w:p w:rsidR="0089563E" w:rsidRPr="005A7F15" w:rsidRDefault="0089563E" w:rsidP="0089563E">
      <w:pPr>
        <w:tabs>
          <w:tab w:val="left" w:pos="-720"/>
          <w:tab w:val="left" w:pos="284"/>
        </w:tabs>
        <w:autoSpaceDE w:val="0"/>
        <w:autoSpaceDN w:val="0"/>
        <w:adjustRightInd w:val="0"/>
        <w:ind w:right="425"/>
        <w:jc w:val="both"/>
        <w:rPr>
          <w:iCs/>
          <w:color w:val="000000"/>
          <w:sz w:val="18"/>
        </w:rPr>
      </w:pPr>
      <w:r w:rsidRPr="005A7F15">
        <w:rPr>
          <w:iCs/>
          <w:color w:val="000000"/>
          <w:sz w:val="18"/>
        </w:rPr>
        <w:t>1/</w:t>
      </w:r>
      <w:r w:rsidRPr="005A7F15">
        <w:t xml:space="preserve"> </w:t>
      </w:r>
      <w:r w:rsidRPr="005A7F15">
        <w:rPr>
          <w:sz w:val="18"/>
          <w:szCs w:val="18"/>
          <w:lang w:val="es-MX"/>
        </w:rPr>
        <w:t>Se realizó estimación de exportaciones de bienes y servicios para calcular dicho indicador en 2016, tomando como base el incremento pronosticado por el BANGUAT para el primer semestre de dicho año.</w:t>
      </w:r>
    </w:p>
    <w:p w:rsidR="0089563E" w:rsidRPr="005A7F15" w:rsidRDefault="0089563E" w:rsidP="0089563E">
      <w:pPr>
        <w:tabs>
          <w:tab w:val="left" w:pos="-720"/>
          <w:tab w:val="left" w:pos="284"/>
        </w:tabs>
        <w:autoSpaceDE w:val="0"/>
        <w:autoSpaceDN w:val="0"/>
        <w:adjustRightInd w:val="0"/>
        <w:ind w:right="425"/>
        <w:jc w:val="both"/>
        <w:rPr>
          <w:iCs/>
          <w:color w:val="000000"/>
          <w:sz w:val="18"/>
        </w:rPr>
      </w:pPr>
      <w:r w:rsidRPr="005A7F15">
        <w:rPr>
          <w:iCs/>
          <w:color w:val="000000"/>
          <w:sz w:val="18"/>
        </w:rPr>
        <w:t>2/ Estimación de ingresos con base en el Presupuesto Vigente de 2015.</w:t>
      </w:r>
    </w:p>
    <w:p w:rsidR="0089563E" w:rsidRPr="005A7F15" w:rsidRDefault="0089563E" w:rsidP="0089563E">
      <w:pPr>
        <w:tabs>
          <w:tab w:val="left" w:pos="-720"/>
          <w:tab w:val="left" w:pos="284"/>
        </w:tabs>
        <w:autoSpaceDE w:val="0"/>
        <w:autoSpaceDN w:val="0"/>
        <w:adjustRightInd w:val="0"/>
        <w:ind w:right="425"/>
        <w:jc w:val="both"/>
        <w:rPr>
          <w:iCs/>
          <w:color w:val="000000"/>
          <w:sz w:val="18"/>
        </w:rPr>
      </w:pPr>
      <w:r w:rsidRPr="005A7F15">
        <w:rPr>
          <w:iCs/>
          <w:color w:val="000000"/>
          <w:sz w:val="18"/>
        </w:rPr>
        <w:t>Fuente: Ministerio de Finanzas Públicas con base al SICOIN.</w:t>
      </w:r>
    </w:p>
    <w:p w:rsidR="0089563E" w:rsidRPr="00CC0874" w:rsidRDefault="0089563E" w:rsidP="0089563E">
      <w:pPr>
        <w:autoSpaceDE w:val="0"/>
        <w:autoSpaceDN w:val="0"/>
        <w:adjustRightInd w:val="0"/>
        <w:jc w:val="both"/>
      </w:pPr>
    </w:p>
    <w:p w:rsidR="0089563E" w:rsidRPr="00CC0874" w:rsidRDefault="0089563E" w:rsidP="0089563E">
      <w:pPr>
        <w:autoSpaceDE w:val="0"/>
        <w:autoSpaceDN w:val="0"/>
        <w:adjustRightInd w:val="0"/>
        <w:jc w:val="both"/>
      </w:pPr>
      <w:r w:rsidRPr="00CC0874">
        <w:t>Adicionalmente, se observa que para el año 2016 la estimación de alguno de los indicadores respecto a ingresos totales se incrementa.</w:t>
      </w:r>
    </w:p>
    <w:p w:rsidR="008F5FCE" w:rsidRDefault="008F5FCE" w:rsidP="008F5FCE">
      <w:pPr>
        <w:jc w:val="both"/>
        <w:rPr>
          <w:highlight w:val="yellow"/>
        </w:rPr>
      </w:pPr>
    </w:p>
    <w:p w:rsidR="00A0357E" w:rsidRDefault="00A0357E" w:rsidP="008F5FCE">
      <w:pPr>
        <w:jc w:val="both"/>
        <w:rPr>
          <w:highlight w:val="yellow"/>
        </w:rPr>
      </w:pPr>
    </w:p>
    <w:p w:rsidR="00A0357E" w:rsidRPr="00CC0874" w:rsidRDefault="00A0357E" w:rsidP="00A0357E">
      <w:pPr>
        <w:keepNext/>
        <w:keepLines/>
        <w:numPr>
          <w:ilvl w:val="1"/>
          <w:numId w:val="4"/>
        </w:numPr>
        <w:ind w:left="567" w:hanging="567"/>
        <w:outlineLvl w:val="2"/>
        <w:rPr>
          <w:b/>
          <w:bCs/>
        </w:rPr>
      </w:pPr>
      <w:bookmarkStart w:id="20" w:name="_Toc426531164"/>
      <w:bookmarkStart w:id="21" w:name="_Toc460422679"/>
      <w:r w:rsidRPr="00CC0874">
        <w:rPr>
          <w:b/>
          <w:bCs/>
        </w:rPr>
        <w:t>Deuda pública vigente y su composición</w:t>
      </w:r>
      <w:bookmarkEnd w:id="20"/>
      <w:bookmarkEnd w:id="21"/>
    </w:p>
    <w:p w:rsidR="00A0357E" w:rsidRPr="00CC0874" w:rsidRDefault="00A0357E" w:rsidP="00A0357E">
      <w:pPr>
        <w:jc w:val="both"/>
        <w:rPr>
          <w:lang w:val="es-MX"/>
        </w:rPr>
      </w:pPr>
    </w:p>
    <w:p w:rsidR="00A0357E" w:rsidRPr="00CC0874" w:rsidRDefault="00A0357E" w:rsidP="00A0357E">
      <w:pPr>
        <w:autoSpaceDE w:val="0"/>
        <w:autoSpaceDN w:val="0"/>
        <w:adjustRightInd w:val="0"/>
        <w:jc w:val="both"/>
        <w:rPr>
          <w:rFonts w:eastAsia="Calibri"/>
          <w:color w:val="000000"/>
          <w:lang w:val="es-GT" w:eastAsia="en-US"/>
        </w:rPr>
      </w:pPr>
      <w:r w:rsidRPr="00CC0874">
        <w:rPr>
          <w:rFonts w:eastAsia="Calibri"/>
          <w:color w:val="000000"/>
          <w:lang w:val="es-MX" w:eastAsia="en-US"/>
        </w:rPr>
        <w:t>Al 31 de diciembre del 2014 la deuda de la Administración Central sumó Q</w:t>
      </w:r>
      <w:r w:rsidRPr="00CC0874">
        <w:rPr>
          <w:rFonts w:eastAsia="Calibri"/>
          <w:color w:val="000000"/>
          <w:lang w:val="es-GT" w:eastAsia="en-US"/>
        </w:rPr>
        <w:t>110,904.</w:t>
      </w:r>
      <w:r>
        <w:rPr>
          <w:rFonts w:eastAsia="Calibri"/>
          <w:color w:val="000000"/>
          <w:lang w:val="es-GT" w:eastAsia="en-US"/>
        </w:rPr>
        <w:t>1</w:t>
      </w:r>
      <w:r w:rsidRPr="00CC0874">
        <w:rPr>
          <w:rFonts w:eastAsia="Calibri"/>
          <w:color w:val="000000"/>
          <w:lang w:val="es-GT" w:eastAsia="en-US"/>
        </w:rPr>
        <w:t xml:space="preserve"> </w:t>
      </w:r>
      <w:r w:rsidRPr="00CC0874">
        <w:rPr>
          <w:rFonts w:eastAsia="Calibri"/>
          <w:color w:val="000000"/>
          <w:lang w:val="es-MX" w:eastAsia="en-US"/>
        </w:rPr>
        <w:t>millones (24.4% del PIB), mientras que al 31 de diciembre del 2015 el monto alcanzó un total de Q</w:t>
      </w:r>
      <w:r w:rsidRPr="00CC0874">
        <w:rPr>
          <w:rFonts w:eastAsia="Calibri"/>
          <w:color w:val="000000"/>
          <w:lang w:val="es-GT" w:eastAsia="en-US"/>
        </w:rPr>
        <w:t xml:space="preserve">118,625.7 </w:t>
      </w:r>
      <w:r w:rsidRPr="00CC0874">
        <w:rPr>
          <w:rFonts w:eastAsia="Calibri"/>
          <w:color w:val="000000"/>
          <w:lang w:val="es-MX" w:eastAsia="en-US"/>
        </w:rPr>
        <w:t>millones (24.3% del PIB).  Al 30 de junio de 2016</w:t>
      </w:r>
      <w:r>
        <w:rPr>
          <w:rFonts w:eastAsia="Calibri"/>
          <w:color w:val="000000"/>
          <w:lang w:val="es-MX" w:eastAsia="en-US"/>
        </w:rPr>
        <w:t>,</w:t>
      </w:r>
      <w:r w:rsidRPr="00CC0874">
        <w:rPr>
          <w:rFonts w:eastAsia="Calibri"/>
          <w:color w:val="000000"/>
          <w:lang w:val="es-MX" w:eastAsia="en-US"/>
        </w:rPr>
        <w:t xml:space="preserve"> la deuda pública alcanzó un total de Q</w:t>
      </w:r>
      <w:r w:rsidRPr="00CC0874">
        <w:rPr>
          <w:rFonts w:eastAsia="Calibri"/>
          <w:color w:val="000000"/>
          <w:lang w:val="es-GT" w:eastAsia="en-US"/>
        </w:rPr>
        <w:t>125,039.</w:t>
      </w:r>
      <w:r>
        <w:rPr>
          <w:rFonts w:eastAsia="Calibri"/>
          <w:color w:val="000000"/>
          <w:lang w:val="es-GT" w:eastAsia="en-US"/>
        </w:rPr>
        <w:t>2</w:t>
      </w:r>
      <w:r w:rsidRPr="00CC0874">
        <w:rPr>
          <w:rFonts w:eastAsia="Calibri"/>
          <w:color w:val="000000"/>
          <w:lang w:val="es-GT" w:eastAsia="en-US"/>
        </w:rPr>
        <w:t xml:space="preserve"> </w:t>
      </w:r>
      <w:r w:rsidRPr="00CC0874">
        <w:rPr>
          <w:rFonts w:eastAsia="Calibri"/>
          <w:color w:val="000000"/>
          <w:lang w:val="es-MX" w:eastAsia="en-US"/>
        </w:rPr>
        <w:t>millones (24.0% del PIB). La composición de la deuda pública mantiene la siguiente estructura:</w:t>
      </w:r>
    </w:p>
    <w:p w:rsidR="00A0357E" w:rsidRDefault="00A0357E" w:rsidP="008F5FCE">
      <w:pPr>
        <w:jc w:val="both"/>
        <w:rPr>
          <w:highlight w:val="yellow"/>
          <w:lang w:val="es-GT"/>
        </w:rPr>
      </w:pPr>
    </w:p>
    <w:p w:rsidR="00A0357E" w:rsidRDefault="00A0357E" w:rsidP="008F5FCE">
      <w:pPr>
        <w:jc w:val="both"/>
        <w:rPr>
          <w:highlight w:val="yellow"/>
          <w:lang w:val="es-GT"/>
        </w:rPr>
      </w:pPr>
    </w:p>
    <w:p w:rsidR="00A0357E" w:rsidRDefault="00A0357E" w:rsidP="008F5FCE">
      <w:pPr>
        <w:jc w:val="both"/>
        <w:rPr>
          <w:highlight w:val="yellow"/>
          <w:lang w:val="es-GT"/>
        </w:rPr>
      </w:pPr>
    </w:p>
    <w:p w:rsidR="00A0357E" w:rsidRDefault="00A0357E" w:rsidP="008F5FCE">
      <w:pPr>
        <w:jc w:val="both"/>
        <w:rPr>
          <w:highlight w:val="yellow"/>
          <w:lang w:val="es-GT"/>
        </w:rPr>
      </w:pPr>
    </w:p>
    <w:p w:rsidR="00A0357E" w:rsidRDefault="00A0357E" w:rsidP="008F5FCE">
      <w:pPr>
        <w:jc w:val="both"/>
        <w:rPr>
          <w:highlight w:val="yellow"/>
          <w:lang w:val="es-GT"/>
        </w:rPr>
      </w:pPr>
    </w:p>
    <w:p w:rsidR="00A0357E" w:rsidRPr="00A0357E" w:rsidRDefault="00A0357E" w:rsidP="008F5FCE">
      <w:pPr>
        <w:jc w:val="both"/>
        <w:rPr>
          <w:highlight w:val="yellow"/>
          <w:lang w:val="es-GT"/>
        </w:rPr>
      </w:pPr>
    </w:p>
    <w:p w:rsidR="00A0357E" w:rsidRPr="00CC0874" w:rsidRDefault="00A0357E" w:rsidP="00A0357E">
      <w:pPr>
        <w:jc w:val="center"/>
        <w:rPr>
          <w:b/>
          <w:sz w:val="22"/>
          <w:lang w:val="es-MX"/>
        </w:rPr>
      </w:pPr>
      <w:r w:rsidRPr="00CC0874">
        <w:rPr>
          <w:b/>
          <w:sz w:val="22"/>
          <w:lang w:val="es-MX"/>
        </w:rPr>
        <w:lastRenderedPageBreak/>
        <w:t xml:space="preserve">Cuadro </w:t>
      </w:r>
      <w:r>
        <w:rPr>
          <w:b/>
          <w:sz w:val="22"/>
          <w:lang w:val="es-MX"/>
        </w:rPr>
        <w:t>1</w:t>
      </w:r>
      <w:r w:rsidR="00D04D9F">
        <w:rPr>
          <w:b/>
          <w:sz w:val="22"/>
          <w:lang w:val="es-MX"/>
        </w:rPr>
        <w:t>1</w:t>
      </w:r>
    </w:p>
    <w:p w:rsidR="00A0357E" w:rsidRPr="00CC0874" w:rsidRDefault="00A0357E" w:rsidP="00A0357E">
      <w:pPr>
        <w:jc w:val="center"/>
        <w:rPr>
          <w:b/>
          <w:sz w:val="22"/>
          <w:lang w:val="es-MX"/>
        </w:rPr>
      </w:pPr>
      <w:r w:rsidRPr="00CC0874">
        <w:rPr>
          <w:b/>
          <w:sz w:val="22"/>
          <w:lang w:val="es-MX"/>
        </w:rPr>
        <w:t>Composición de la Deuda Pública</w:t>
      </w:r>
    </w:p>
    <w:p w:rsidR="00A0357E" w:rsidRPr="00CC0874" w:rsidRDefault="00A0357E" w:rsidP="00A0357E">
      <w:pPr>
        <w:jc w:val="center"/>
        <w:rPr>
          <w:b/>
          <w:sz w:val="10"/>
          <w:lang w:val="es-MX"/>
        </w:rPr>
      </w:pPr>
    </w:p>
    <w:p w:rsidR="00A0357E" w:rsidRPr="00CC0874" w:rsidRDefault="00A0357E" w:rsidP="00A0357E">
      <w:pPr>
        <w:jc w:val="center"/>
        <w:rPr>
          <w:b/>
          <w:sz w:val="8"/>
          <w:lang w:val="es-MX"/>
        </w:rPr>
      </w:pPr>
      <w:r w:rsidRPr="00CC0874">
        <w:rPr>
          <w:noProof/>
          <w:lang w:val="es-GT" w:eastAsia="es-GT"/>
        </w:rPr>
        <w:drawing>
          <wp:inline distT="0" distB="0" distL="0" distR="0" wp14:anchorId="216FED26" wp14:editId="5DE9932F">
            <wp:extent cx="5549900" cy="1098550"/>
            <wp:effectExtent l="19050" t="0" r="0" b="0"/>
            <wp:docPr id="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4957" cy="1099551"/>
                    </a:xfrm>
                    <a:prstGeom prst="rect">
                      <a:avLst/>
                    </a:prstGeom>
                    <a:noFill/>
                    <a:ln>
                      <a:noFill/>
                    </a:ln>
                  </pic:spPr>
                </pic:pic>
              </a:graphicData>
            </a:graphic>
          </wp:inline>
        </w:drawing>
      </w:r>
    </w:p>
    <w:p w:rsidR="00A0357E" w:rsidRPr="00CC0874" w:rsidRDefault="00A0357E" w:rsidP="00A0357E">
      <w:pPr>
        <w:ind w:left="142"/>
        <w:rPr>
          <w:sz w:val="16"/>
          <w:lang w:val="es-MX"/>
        </w:rPr>
      </w:pPr>
      <w:r w:rsidRPr="00CC0874">
        <w:rPr>
          <w:sz w:val="16"/>
          <w:lang w:val="es-MX"/>
        </w:rPr>
        <w:t>Fuente: Ministerio de Finanzas Públicas con base al SICOIN.</w:t>
      </w:r>
    </w:p>
    <w:p w:rsidR="00A0357E" w:rsidRPr="00CC0874" w:rsidRDefault="00A0357E" w:rsidP="00A0357E">
      <w:pPr>
        <w:ind w:left="142"/>
        <w:rPr>
          <w:sz w:val="16"/>
          <w:lang w:val="es-MX"/>
        </w:rPr>
      </w:pPr>
      <w:r w:rsidRPr="00CC0874">
        <w:rPr>
          <w:sz w:val="16"/>
          <w:lang w:val="es-MX"/>
        </w:rPr>
        <w:t>* Cifras preliminares</w:t>
      </w:r>
      <w:r>
        <w:rPr>
          <w:sz w:val="16"/>
          <w:lang w:val="es-MX"/>
        </w:rPr>
        <w:t xml:space="preserve"> al 30 de junio de 2016.</w:t>
      </w:r>
    </w:p>
    <w:p w:rsidR="00A0357E" w:rsidRPr="00A0357E" w:rsidRDefault="00A0357E" w:rsidP="00A0357E">
      <w:pPr>
        <w:rPr>
          <w:lang w:val="es-MX"/>
        </w:rPr>
      </w:pPr>
    </w:p>
    <w:p w:rsidR="00A0357E" w:rsidRPr="00CC0874" w:rsidRDefault="00A0357E" w:rsidP="00A0357E">
      <w:pPr>
        <w:jc w:val="both"/>
        <w:rPr>
          <w:lang w:val="es-MX"/>
        </w:rPr>
      </w:pPr>
      <w:r>
        <w:rPr>
          <w:lang w:val="es-MX"/>
        </w:rPr>
        <w:t>En 2016 s</w:t>
      </w:r>
      <w:r w:rsidRPr="00CC0874">
        <w:rPr>
          <w:lang w:val="es-MX"/>
        </w:rPr>
        <w:t>e distingue que la distribución porcentual de la deuda externa</w:t>
      </w:r>
      <w:r>
        <w:rPr>
          <w:lang w:val="es-MX"/>
        </w:rPr>
        <w:t>,</w:t>
      </w:r>
      <w:r w:rsidRPr="00CC0874">
        <w:rPr>
          <w:lang w:val="es-MX"/>
        </w:rPr>
        <w:t xml:space="preserve"> </w:t>
      </w:r>
      <w:r>
        <w:rPr>
          <w:lang w:val="es-MX"/>
        </w:rPr>
        <w:t xml:space="preserve">con relación al </w:t>
      </w:r>
      <w:r w:rsidRPr="00CC0874">
        <w:rPr>
          <w:lang w:val="es-MX"/>
        </w:rPr>
        <w:t>total de la deuda</w:t>
      </w:r>
      <w:r>
        <w:rPr>
          <w:lang w:val="es-MX"/>
        </w:rPr>
        <w:t xml:space="preserve"> pública,</w:t>
      </w:r>
      <w:r w:rsidRPr="00CC0874">
        <w:rPr>
          <w:lang w:val="es-MX"/>
        </w:rPr>
        <w:t xml:space="preserve"> </w:t>
      </w:r>
      <w:r>
        <w:rPr>
          <w:lang w:val="es-MX"/>
        </w:rPr>
        <w:t>crece</w:t>
      </w:r>
      <w:r w:rsidRPr="00CC0874">
        <w:rPr>
          <w:lang w:val="es-MX"/>
        </w:rPr>
        <w:t xml:space="preserve"> 1.1</w:t>
      </w:r>
      <w:r>
        <w:rPr>
          <w:lang w:val="es-MX"/>
        </w:rPr>
        <w:t>% con respecto de</w:t>
      </w:r>
      <w:r w:rsidRPr="00CC0874">
        <w:rPr>
          <w:lang w:val="es-MX"/>
        </w:rPr>
        <w:t xml:space="preserve"> lo observado en 2015.  Este cambio de la estructura de la deuda se explica por la utilización de los préstamos externos como fuente de financiamiento; sin embargo, </w:t>
      </w:r>
      <w:r>
        <w:rPr>
          <w:lang w:val="es-MX"/>
        </w:rPr>
        <w:t>precisa destacar</w:t>
      </w:r>
      <w:r w:rsidRPr="00CC0874">
        <w:rPr>
          <w:lang w:val="es-MX"/>
        </w:rPr>
        <w:t xml:space="preserve"> que aún </w:t>
      </w:r>
      <w:r>
        <w:rPr>
          <w:lang w:val="es-MX"/>
        </w:rPr>
        <w:t xml:space="preserve">se desarrolla </w:t>
      </w:r>
      <w:r w:rsidRPr="00CC0874">
        <w:rPr>
          <w:lang w:val="es-MX"/>
        </w:rPr>
        <w:t>un proceso de colocación de bonos lo que refleja que los inversionistas tienen confianza en el sistema financiero guatemalteco</w:t>
      </w:r>
      <w:r>
        <w:rPr>
          <w:lang w:val="es-MX"/>
        </w:rPr>
        <w:t>,</w:t>
      </w:r>
      <w:r w:rsidRPr="00CC0874">
        <w:rPr>
          <w:lang w:val="es-MX"/>
        </w:rPr>
        <w:t xml:space="preserve"> lo </w:t>
      </w:r>
      <w:r>
        <w:rPr>
          <w:lang w:val="es-MX"/>
        </w:rPr>
        <w:t>que podría</w:t>
      </w:r>
      <w:r w:rsidRPr="00CC0874">
        <w:rPr>
          <w:lang w:val="es-MX"/>
        </w:rPr>
        <w:t xml:space="preserve"> permitir un cambio en esta estructura.</w:t>
      </w:r>
    </w:p>
    <w:p w:rsidR="00A0357E" w:rsidRDefault="00A0357E" w:rsidP="008F5FCE">
      <w:pPr>
        <w:jc w:val="both"/>
        <w:rPr>
          <w:highlight w:val="yellow"/>
        </w:rPr>
      </w:pPr>
    </w:p>
    <w:p w:rsidR="0089563E" w:rsidRDefault="0089563E" w:rsidP="008F5FCE">
      <w:pPr>
        <w:jc w:val="both"/>
        <w:rPr>
          <w:highlight w:val="yellow"/>
        </w:rPr>
      </w:pPr>
    </w:p>
    <w:p w:rsidR="00CC0874" w:rsidRPr="00CC0874" w:rsidRDefault="00CC0874" w:rsidP="00CC0874">
      <w:pPr>
        <w:keepNext/>
        <w:keepLines/>
        <w:numPr>
          <w:ilvl w:val="1"/>
          <w:numId w:val="4"/>
        </w:numPr>
        <w:ind w:left="567" w:hanging="567"/>
        <w:outlineLvl w:val="2"/>
        <w:rPr>
          <w:b/>
          <w:bCs/>
        </w:rPr>
      </w:pPr>
      <w:bookmarkStart w:id="22" w:name="_Toc426531162"/>
      <w:bookmarkStart w:id="23" w:name="_Toc460422680"/>
      <w:r w:rsidRPr="00CC0874">
        <w:rPr>
          <w:b/>
          <w:bCs/>
        </w:rPr>
        <w:t xml:space="preserve">Colocación de </w:t>
      </w:r>
      <w:r w:rsidR="006C70CB">
        <w:rPr>
          <w:b/>
          <w:bCs/>
        </w:rPr>
        <w:t>B</w:t>
      </w:r>
      <w:r w:rsidRPr="00CC0874">
        <w:rPr>
          <w:b/>
          <w:bCs/>
        </w:rPr>
        <w:t xml:space="preserve">onos del </w:t>
      </w:r>
      <w:r w:rsidR="006C70CB">
        <w:rPr>
          <w:b/>
          <w:bCs/>
        </w:rPr>
        <w:t>T</w:t>
      </w:r>
      <w:r w:rsidRPr="00CC0874">
        <w:rPr>
          <w:b/>
          <w:bCs/>
        </w:rPr>
        <w:t>esoro</w:t>
      </w:r>
      <w:bookmarkEnd w:id="22"/>
      <w:bookmarkEnd w:id="23"/>
    </w:p>
    <w:p w:rsidR="00CC0874" w:rsidRPr="00CC0874" w:rsidRDefault="00CC0874" w:rsidP="00CC0874">
      <w:pPr>
        <w:rPr>
          <w:sz w:val="14"/>
        </w:rPr>
      </w:pPr>
    </w:p>
    <w:p w:rsidR="00CC0874" w:rsidRPr="00CC0874" w:rsidRDefault="00CC0874" w:rsidP="00CC0874">
      <w:pPr>
        <w:autoSpaceDE w:val="0"/>
        <w:autoSpaceDN w:val="0"/>
        <w:adjustRightInd w:val="0"/>
        <w:jc w:val="both"/>
        <w:rPr>
          <w:b/>
          <w:color w:val="000000"/>
          <w:sz w:val="2"/>
        </w:rPr>
      </w:pPr>
    </w:p>
    <w:p w:rsidR="00CC0874" w:rsidRPr="00CC0874" w:rsidRDefault="00CC0874" w:rsidP="00CC0874">
      <w:pPr>
        <w:autoSpaceDE w:val="0"/>
        <w:autoSpaceDN w:val="0"/>
        <w:adjustRightInd w:val="0"/>
        <w:jc w:val="both"/>
        <w:rPr>
          <w:color w:val="000000"/>
        </w:rPr>
      </w:pPr>
      <w:r w:rsidRPr="00CC0874">
        <w:rPr>
          <w:color w:val="000000"/>
        </w:rPr>
        <w:t xml:space="preserve">Para el Ejercicio Fiscal 2016 fue aprobada la emisión, negociación y colocación de Bonos del Tesoro de la República de Guatemala por Q14,960.9 millones, de conformidad con lo establecido en el artículo 29 del Decreto </w:t>
      </w:r>
      <w:r w:rsidR="00310AC7">
        <w:rPr>
          <w:color w:val="000000"/>
        </w:rPr>
        <w:t>No.</w:t>
      </w:r>
      <w:r w:rsidRPr="00CC0874">
        <w:rPr>
          <w:color w:val="000000"/>
        </w:rPr>
        <w:t xml:space="preserve"> 14-2015, “Ley del Presupuesto General de Ingresos y Egresos del Estado para el Ejercicio Fiscal </w:t>
      </w:r>
      <w:r w:rsidR="006C70CB">
        <w:rPr>
          <w:color w:val="000000"/>
        </w:rPr>
        <w:t>2016</w:t>
      </w:r>
      <w:r w:rsidRPr="00CC0874">
        <w:rPr>
          <w:color w:val="000000"/>
        </w:rPr>
        <w:t xml:space="preserve">”. El referido monto incluye Q9,426.5 millones de nuevo endeudamiento y Q5,534.4 millones de </w:t>
      </w:r>
      <w:r w:rsidRPr="006C70CB">
        <w:rPr>
          <w:i/>
          <w:color w:val="000000"/>
        </w:rPr>
        <w:t>roll ove</w:t>
      </w:r>
      <w:r w:rsidR="006C70CB">
        <w:rPr>
          <w:i/>
          <w:color w:val="000000"/>
        </w:rPr>
        <w:t>r</w:t>
      </w:r>
      <w:r w:rsidR="006C70CB" w:rsidRPr="006C70CB">
        <w:rPr>
          <w:color w:val="000000"/>
        </w:rPr>
        <w:t>.</w:t>
      </w:r>
      <w:r w:rsidRPr="00CC0874">
        <w:rPr>
          <w:color w:val="000000"/>
          <w:vertAlign w:val="superscript"/>
        </w:rPr>
        <w:footnoteReference w:id="7"/>
      </w:r>
    </w:p>
    <w:p w:rsidR="00CC0874" w:rsidRPr="00CC0874" w:rsidRDefault="00CC0874" w:rsidP="00CC0874">
      <w:pPr>
        <w:autoSpaceDE w:val="0"/>
        <w:autoSpaceDN w:val="0"/>
        <w:adjustRightInd w:val="0"/>
        <w:jc w:val="both"/>
        <w:rPr>
          <w:color w:val="000000"/>
        </w:rPr>
      </w:pPr>
    </w:p>
    <w:p w:rsidR="00CC0874" w:rsidRPr="00CC0874" w:rsidRDefault="006C70CB" w:rsidP="00CC0874">
      <w:pPr>
        <w:jc w:val="both"/>
        <w:rPr>
          <w:color w:val="000000"/>
        </w:rPr>
      </w:pPr>
      <w:r>
        <w:rPr>
          <w:color w:val="000000"/>
        </w:rPr>
        <w:t>E</w:t>
      </w:r>
      <w:r w:rsidR="00CC0874" w:rsidRPr="00CC0874">
        <w:rPr>
          <w:color w:val="000000"/>
        </w:rPr>
        <w:t xml:space="preserve">l Decreto </w:t>
      </w:r>
      <w:r w:rsidR="000E6666">
        <w:rPr>
          <w:color w:val="000000"/>
        </w:rPr>
        <w:t xml:space="preserve">No. </w:t>
      </w:r>
      <w:r w:rsidR="00CC0874" w:rsidRPr="00CC0874">
        <w:rPr>
          <w:color w:val="000000"/>
        </w:rPr>
        <w:t xml:space="preserve">14-2015 establecía </w:t>
      </w:r>
      <w:r w:rsidR="00CC0874">
        <w:rPr>
          <w:color w:val="000000"/>
        </w:rPr>
        <w:t xml:space="preserve">en </w:t>
      </w:r>
      <w:r w:rsidR="00CC0874" w:rsidRPr="00CC0874">
        <w:rPr>
          <w:color w:val="000000"/>
        </w:rPr>
        <w:t>el artículo 37 la restricción para que el Organismo Ejecutivo</w:t>
      </w:r>
      <w:r>
        <w:rPr>
          <w:color w:val="000000"/>
        </w:rPr>
        <w:t>,</w:t>
      </w:r>
      <w:r w:rsidR="00CC0874" w:rsidRPr="00CC0874">
        <w:rPr>
          <w:color w:val="000000"/>
        </w:rPr>
        <w:t xml:space="preserve"> a través del Ministerio de Finanzas Públicas</w:t>
      </w:r>
      <w:r>
        <w:rPr>
          <w:color w:val="000000"/>
        </w:rPr>
        <w:t>,</w:t>
      </w:r>
      <w:r w:rsidR="00CC0874" w:rsidRPr="00CC0874">
        <w:rPr>
          <w:color w:val="000000"/>
        </w:rPr>
        <w:t xml:space="preserve"> colocar</w:t>
      </w:r>
      <w:r w:rsidR="00CC0874">
        <w:rPr>
          <w:color w:val="000000"/>
        </w:rPr>
        <w:t>a</w:t>
      </w:r>
      <w:r w:rsidR="00CC0874" w:rsidRPr="00CC0874">
        <w:rPr>
          <w:color w:val="000000"/>
        </w:rPr>
        <w:t xml:space="preserve"> </w:t>
      </w:r>
      <w:r w:rsidR="00CC0874">
        <w:rPr>
          <w:color w:val="000000"/>
        </w:rPr>
        <w:t>como máximo</w:t>
      </w:r>
      <w:r w:rsidR="00CC0874" w:rsidRPr="00CC0874">
        <w:rPr>
          <w:color w:val="000000"/>
        </w:rPr>
        <w:t xml:space="preserve"> el 50.0% del monto autorizado de nuevo endeudamiento en el primer semestre del Ejercicio Fiscal 2016</w:t>
      </w:r>
      <w:r>
        <w:rPr>
          <w:color w:val="000000"/>
        </w:rPr>
        <w:t>.</w:t>
      </w:r>
      <w:r w:rsidR="00CC0874" w:rsidRPr="00CC0874">
        <w:rPr>
          <w:color w:val="000000"/>
          <w:vertAlign w:val="superscript"/>
        </w:rPr>
        <w:footnoteReference w:id="8"/>
      </w:r>
      <w:r w:rsidR="00CC0874" w:rsidRPr="00CC0874">
        <w:rPr>
          <w:color w:val="000000"/>
        </w:rPr>
        <w:t xml:space="preserve"> </w:t>
      </w:r>
    </w:p>
    <w:p w:rsidR="00CC0874" w:rsidRPr="00CC0874" w:rsidRDefault="00CC0874" w:rsidP="00CC0874">
      <w:pPr>
        <w:jc w:val="both"/>
        <w:rPr>
          <w:color w:val="000000"/>
        </w:rPr>
      </w:pPr>
    </w:p>
    <w:p w:rsidR="00CC0874" w:rsidRPr="00CC0874" w:rsidRDefault="00CC0874" w:rsidP="00CC0874">
      <w:pPr>
        <w:jc w:val="both"/>
        <w:rPr>
          <w:color w:val="000000"/>
        </w:rPr>
      </w:pPr>
      <w:r w:rsidRPr="00CC0874">
        <w:rPr>
          <w:color w:val="000000"/>
        </w:rPr>
        <w:t>Por lo anterior</w:t>
      </w:r>
      <w:r w:rsidR="006C70CB">
        <w:rPr>
          <w:color w:val="000000"/>
        </w:rPr>
        <w:t>,</w:t>
      </w:r>
      <w:r w:rsidRPr="00CC0874">
        <w:rPr>
          <w:color w:val="000000"/>
        </w:rPr>
        <w:t xml:space="preserve"> y derivado de haberse considerado colocar Bonos del </w:t>
      </w:r>
      <w:r w:rsidR="006C70CB">
        <w:rPr>
          <w:color w:val="000000"/>
        </w:rPr>
        <w:t>T</w:t>
      </w:r>
      <w:r w:rsidRPr="00CC0874">
        <w:rPr>
          <w:color w:val="000000"/>
        </w:rPr>
        <w:t>esoro en el mercado internacional durante el primer semestre de 2016, aprovechando las condiciones financieras existentes, el 1 de abril de 2016 fue suspendida la colocación de bonos del tesoro en el me</w:t>
      </w:r>
      <w:r w:rsidR="000E6666">
        <w:rPr>
          <w:color w:val="000000"/>
        </w:rPr>
        <w:t>rcado nacional, con miras a efectuar colocaciones externas.</w:t>
      </w:r>
    </w:p>
    <w:p w:rsidR="00CC0874" w:rsidRPr="00CC0874" w:rsidRDefault="00CC0874" w:rsidP="00CC0874">
      <w:pPr>
        <w:autoSpaceDE w:val="0"/>
        <w:autoSpaceDN w:val="0"/>
        <w:adjustRightInd w:val="0"/>
        <w:jc w:val="both"/>
        <w:rPr>
          <w:color w:val="000000"/>
        </w:rPr>
      </w:pPr>
    </w:p>
    <w:p w:rsidR="00CC0874" w:rsidRPr="00CC0874" w:rsidRDefault="00CC0874" w:rsidP="00CC0874">
      <w:pPr>
        <w:jc w:val="both"/>
        <w:rPr>
          <w:color w:val="000000"/>
        </w:rPr>
      </w:pPr>
      <w:r w:rsidRPr="00CC0874">
        <w:rPr>
          <w:color w:val="000000"/>
        </w:rPr>
        <w:t xml:space="preserve">Al 30 de junio de 2016 las colocaciones de </w:t>
      </w:r>
      <w:r w:rsidR="00A0357E">
        <w:rPr>
          <w:color w:val="000000"/>
        </w:rPr>
        <w:t>B</w:t>
      </w:r>
      <w:r w:rsidRPr="00CC0874">
        <w:rPr>
          <w:color w:val="000000"/>
        </w:rPr>
        <w:t xml:space="preserve">onos </w:t>
      </w:r>
      <w:r w:rsidR="00722020">
        <w:rPr>
          <w:color w:val="000000"/>
        </w:rPr>
        <w:t xml:space="preserve">del </w:t>
      </w:r>
      <w:r w:rsidR="00A0357E">
        <w:rPr>
          <w:color w:val="000000"/>
        </w:rPr>
        <w:t>T</w:t>
      </w:r>
      <w:r w:rsidR="00722020">
        <w:rPr>
          <w:color w:val="000000"/>
        </w:rPr>
        <w:t>esoro</w:t>
      </w:r>
      <w:r w:rsidRPr="00CC0874">
        <w:rPr>
          <w:color w:val="000000"/>
        </w:rPr>
        <w:t xml:space="preserve"> sumaron la cantidad de Q10,836.4 millones que constituyen el 72.4% </w:t>
      </w:r>
      <w:r w:rsidRPr="000E6666">
        <w:rPr>
          <w:color w:val="000000"/>
        </w:rPr>
        <w:t xml:space="preserve">del monto </w:t>
      </w:r>
      <w:r w:rsidR="000E6666" w:rsidRPr="000E6666">
        <w:rPr>
          <w:color w:val="000000"/>
        </w:rPr>
        <w:t xml:space="preserve">total </w:t>
      </w:r>
      <w:r w:rsidRPr="000E6666">
        <w:rPr>
          <w:color w:val="000000"/>
        </w:rPr>
        <w:t>autorizado</w:t>
      </w:r>
      <w:r w:rsidR="000E6666">
        <w:rPr>
          <w:color w:val="000000"/>
        </w:rPr>
        <w:t xml:space="preserve"> a colocar</w:t>
      </w:r>
      <w:r w:rsidRPr="00CC0874">
        <w:rPr>
          <w:color w:val="000000"/>
        </w:rPr>
        <w:t xml:space="preserve">. De este monto el 50.1% corresponde a colocaciones realizadas en el mercado nacional y el 49.9% restante en el mercado internacional. La colocación de </w:t>
      </w:r>
      <w:r w:rsidR="00722020">
        <w:rPr>
          <w:color w:val="000000"/>
        </w:rPr>
        <w:t>b</w:t>
      </w:r>
      <w:r w:rsidRPr="00CC0874">
        <w:rPr>
          <w:color w:val="000000"/>
        </w:rPr>
        <w:t xml:space="preserve">onos del </w:t>
      </w:r>
      <w:r w:rsidR="00722020">
        <w:rPr>
          <w:color w:val="000000"/>
        </w:rPr>
        <w:t>t</w:t>
      </w:r>
      <w:r w:rsidRPr="00CC0874">
        <w:rPr>
          <w:color w:val="000000"/>
        </w:rPr>
        <w:t>esoro ha reflejado la liquidez del mercado de dinero y la confianza de los inversionistas para ad</w:t>
      </w:r>
      <w:r w:rsidR="00722020">
        <w:rPr>
          <w:color w:val="000000"/>
        </w:rPr>
        <w:t>quirir títulos de deuda pública guatemalteca.</w:t>
      </w:r>
    </w:p>
    <w:p w:rsidR="00CC0874" w:rsidRPr="00CC0874" w:rsidRDefault="00CC0874" w:rsidP="00CC0874">
      <w:pPr>
        <w:jc w:val="both"/>
        <w:rPr>
          <w:color w:val="000000"/>
        </w:rPr>
      </w:pPr>
    </w:p>
    <w:p w:rsidR="00CC0874" w:rsidRPr="00CC0874" w:rsidRDefault="00CC0874" w:rsidP="00CC0874">
      <w:pPr>
        <w:autoSpaceDE w:val="0"/>
        <w:autoSpaceDN w:val="0"/>
        <w:adjustRightInd w:val="0"/>
        <w:jc w:val="both"/>
        <w:rPr>
          <w:color w:val="000000"/>
        </w:rPr>
      </w:pPr>
      <w:r w:rsidRPr="00CC0874">
        <w:rPr>
          <w:color w:val="000000"/>
        </w:rPr>
        <w:lastRenderedPageBreak/>
        <w:t xml:space="preserve">Con respecto a la colocación </w:t>
      </w:r>
      <w:r w:rsidR="002D2C3A">
        <w:rPr>
          <w:color w:val="000000"/>
        </w:rPr>
        <w:t>en</w:t>
      </w:r>
      <w:r w:rsidRPr="00CC0874">
        <w:rPr>
          <w:color w:val="000000"/>
        </w:rPr>
        <w:t xml:space="preserve"> el mercado nacional, el costo financiero expresado en la tasa de cupón promedio ponderado, manifestó una disminución de 8 puntos básicos con relación a lo observado en el año anterior, lo cual se deriva a que en el presente </w:t>
      </w:r>
      <w:r w:rsidR="00722020">
        <w:rPr>
          <w:color w:val="000000"/>
        </w:rPr>
        <w:t>e</w:t>
      </w:r>
      <w:r w:rsidRPr="00CC0874">
        <w:rPr>
          <w:color w:val="000000"/>
        </w:rPr>
        <w:t xml:space="preserve">jercicio </w:t>
      </w:r>
      <w:r w:rsidR="00722020">
        <w:rPr>
          <w:color w:val="000000"/>
        </w:rPr>
        <w:t>f</w:t>
      </w:r>
      <w:r w:rsidRPr="00CC0874">
        <w:rPr>
          <w:color w:val="000000"/>
        </w:rPr>
        <w:t xml:space="preserve">iscal </w:t>
      </w:r>
      <w:r w:rsidRPr="00CC0874">
        <w:t>se realizaron colocaciones con fechas de vencimiento a plazos de 5, 7 y 8 años, que se combinaron con otras a 15 años. El menor costo financiero de las colocaciones, se puede observar en la siguiente gráfica.</w:t>
      </w:r>
    </w:p>
    <w:p w:rsidR="00CC0874" w:rsidRPr="00CC0874" w:rsidRDefault="00CC0874" w:rsidP="00CC0874">
      <w:pPr>
        <w:autoSpaceDE w:val="0"/>
        <w:autoSpaceDN w:val="0"/>
        <w:adjustRightInd w:val="0"/>
        <w:jc w:val="both"/>
        <w:rPr>
          <w:color w:val="000000"/>
          <w:sz w:val="12"/>
        </w:rPr>
      </w:pPr>
    </w:p>
    <w:p w:rsidR="00CC0874" w:rsidRDefault="00CC0874" w:rsidP="00CC0874">
      <w:pPr>
        <w:jc w:val="center"/>
        <w:rPr>
          <w:b/>
          <w:sz w:val="22"/>
          <w:lang w:val="es-MX"/>
        </w:rPr>
      </w:pPr>
      <w:r w:rsidRPr="00CC0874">
        <w:rPr>
          <w:b/>
          <w:sz w:val="22"/>
          <w:lang w:val="es-MX"/>
        </w:rPr>
        <w:t xml:space="preserve">Gráfica </w:t>
      </w:r>
      <w:r w:rsidR="00D04D9F">
        <w:rPr>
          <w:b/>
          <w:sz w:val="22"/>
          <w:lang w:val="es-MX"/>
        </w:rPr>
        <w:t>8</w:t>
      </w:r>
    </w:p>
    <w:p w:rsidR="00CC0874" w:rsidRPr="002D2C3A" w:rsidRDefault="00CC0874" w:rsidP="00CC0874">
      <w:pPr>
        <w:jc w:val="center"/>
        <w:rPr>
          <w:i/>
          <w:sz w:val="22"/>
          <w:lang w:val="es-MX"/>
        </w:rPr>
      </w:pPr>
      <w:r w:rsidRPr="00CC0874">
        <w:rPr>
          <w:b/>
          <w:sz w:val="22"/>
          <w:lang w:val="es-MX"/>
        </w:rPr>
        <w:t>Tasa de Cupón Promedio Ponderado de las Colocaciones de Bonos del Tesoro</w:t>
      </w:r>
      <w:r w:rsidRPr="00CC0874">
        <w:rPr>
          <w:b/>
          <w:sz w:val="22"/>
          <w:lang w:val="es-MX"/>
        </w:rPr>
        <w:br/>
      </w:r>
      <w:r w:rsidRPr="002D2C3A">
        <w:rPr>
          <w:i/>
          <w:sz w:val="22"/>
          <w:lang w:val="es-MX"/>
        </w:rPr>
        <w:t>Período 2005-2016*/</w:t>
      </w:r>
    </w:p>
    <w:p w:rsidR="00CC0874" w:rsidRPr="002D2C3A" w:rsidRDefault="00CC0874" w:rsidP="00CC0874">
      <w:pPr>
        <w:jc w:val="center"/>
        <w:rPr>
          <w:i/>
          <w:sz w:val="22"/>
          <w:lang w:val="es-MX"/>
        </w:rPr>
      </w:pPr>
      <w:r w:rsidRPr="002D2C3A">
        <w:rPr>
          <w:i/>
          <w:sz w:val="22"/>
          <w:lang w:val="es-MX"/>
        </w:rPr>
        <w:t xml:space="preserve">(Cifras en </w:t>
      </w:r>
      <w:r w:rsidR="00722020">
        <w:rPr>
          <w:i/>
          <w:sz w:val="22"/>
          <w:lang w:val="es-MX"/>
        </w:rPr>
        <w:t>P</w:t>
      </w:r>
      <w:r w:rsidRPr="002D2C3A">
        <w:rPr>
          <w:i/>
          <w:sz w:val="22"/>
          <w:lang w:val="es-MX"/>
        </w:rPr>
        <w:t>orcentajes)</w:t>
      </w:r>
    </w:p>
    <w:p w:rsidR="00CC0874" w:rsidRPr="00CC0874" w:rsidRDefault="00CC0874" w:rsidP="00CC0874">
      <w:pPr>
        <w:jc w:val="center"/>
        <w:rPr>
          <w:b/>
          <w:sz w:val="22"/>
          <w:lang w:val="es-MX"/>
        </w:rPr>
      </w:pPr>
    </w:p>
    <w:p w:rsidR="00CC0874" w:rsidRPr="00CC0874" w:rsidRDefault="00CC0874" w:rsidP="00CC0874">
      <w:pPr>
        <w:jc w:val="center"/>
        <w:rPr>
          <w:sz w:val="18"/>
          <w:lang w:val="es-MX"/>
        </w:rPr>
      </w:pPr>
      <w:r w:rsidRPr="00CC0874">
        <w:rPr>
          <w:noProof/>
          <w:lang w:val="es-GT" w:eastAsia="es-GT"/>
        </w:rPr>
        <w:drawing>
          <wp:inline distT="0" distB="0" distL="0" distR="0" wp14:anchorId="3C33C932" wp14:editId="29BA5A62">
            <wp:extent cx="5029200" cy="2838450"/>
            <wp:effectExtent l="0" t="0" r="0" b="0"/>
            <wp:docPr id="29"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0874" w:rsidRPr="00CC0874" w:rsidRDefault="00CC0874" w:rsidP="00DB312A">
      <w:pPr>
        <w:ind w:left="567"/>
        <w:rPr>
          <w:sz w:val="16"/>
          <w:lang w:val="es-MX"/>
        </w:rPr>
      </w:pPr>
      <w:r w:rsidRPr="00CC0874">
        <w:rPr>
          <w:sz w:val="16"/>
          <w:lang w:val="es-MX"/>
        </w:rPr>
        <w:t>Fuente: Ministerio de Finanzas Públicas.</w:t>
      </w:r>
    </w:p>
    <w:p w:rsidR="00CC0874" w:rsidRPr="00CC0874" w:rsidRDefault="00CC0874" w:rsidP="00DB312A">
      <w:pPr>
        <w:ind w:left="567"/>
        <w:rPr>
          <w:sz w:val="16"/>
          <w:lang w:val="es-MX"/>
        </w:rPr>
      </w:pPr>
      <w:r w:rsidRPr="00CC0874">
        <w:rPr>
          <w:sz w:val="16"/>
          <w:lang w:val="es-MX"/>
        </w:rPr>
        <w:t xml:space="preserve">*/ Cifras </w:t>
      </w:r>
      <w:r w:rsidR="00722020">
        <w:rPr>
          <w:sz w:val="16"/>
          <w:lang w:val="es-MX"/>
        </w:rPr>
        <w:t xml:space="preserve">preliminares </w:t>
      </w:r>
      <w:r w:rsidRPr="00CC0874">
        <w:rPr>
          <w:sz w:val="16"/>
          <w:lang w:val="es-MX"/>
        </w:rPr>
        <w:t>al 30 de junio de 2016.</w:t>
      </w:r>
    </w:p>
    <w:p w:rsidR="00CC0874" w:rsidRPr="00CC0874" w:rsidRDefault="00CC0874" w:rsidP="00CC0874">
      <w:pPr>
        <w:rPr>
          <w:sz w:val="18"/>
          <w:lang w:val="es-MX"/>
        </w:rPr>
      </w:pPr>
    </w:p>
    <w:p w:rsidR="00CC0874" w:rsidRPr="00CC0874" w:rsidRDefault="00CC0874" w:rsidP="00CC0874">
      <w:pPr>
        <w:autoSpaceDE w:val="0"/>
        <w:autoSpaceDN w:val="0"/>
        <w:adjustRightInd w:val="0"/>
        <w:jc w:val="both"/>
      </w:pPr>
      <w:r w:rsidRPr="00CC0874">
        <w:t xml:space="preserve">Como ha sucedido en años anteriores, en el presente </w:t>
      </w:r>
      <w:r w:rsidR="00722020">
        <w:t>e</w:t>
      </w:r>
      <w:r w:rsidRPr="00CC0874">
        <w:t xml:space="preserve">jercicio </w:t>
      </w:r>
      <w:r w:rsidR="00722020">
        <w:t>f</w:t>
      </w:r>
      <w:r w:rsidRPr="00CC0874">
        <w:t>iscal se ha observado en el mercado nacional una  preferencia por la adquisición de títulos a más largo plazo, ya que el 87.6% de las colocaciones correspondientes al primer semestre de 2016 fue</w:t>
      </w:r>
      <w:r w:rsidR="008818FB">
        <w:t>ron</w:t>
      </w:r>
      <w:r w:rsidRPr="00CC0874">
        <w:t xml:space="preserve"> realizad</w:t>
      </w:r>
      <w:r w:rsidR="008818FB">
        <w:t>as</w:t>
      </w:r>
      <w:r w:rsidRPr="00CC0874">
        <w:t xml:space="preserve"> al plazo de vencimiento de 15 años </w:t>
      </w:r>
      <w:r w:rsidR="008818FB">
        <w:t>(</w:t>
      </w:r>
      <w:r w:rsidRPr="00CC0874">
        <w:t>Q4,755.3 millones</w:t>
      </w:r>
      <w:r w:rsidR="008818FB">
        <w:t>)</w:t>
      </w:r>
      <w:r w:rsidRPr="00CC0874">
        <w:t>.</w:t>
      </w:r>
    </w:p>
    <w:p w:rsidR="00CC0874" w:rsidRPr="00A0357E" w:rsidRDefault="00CC0874" w:rsidP="00CC0874">
      <w:pPr>
        <w:autoSpaceDE w:val="0"/>
        <w:autoSpaceDN w:val="0"/>
        <w:adjustRightInd w:val="0"/>
        <w:ind w:firstLine="426"/>
        <w:jc w:val="both"/>
      </w:pPr>
    </w:p>
    <w:p w:rsidR="00CC0874" w:rsidRPr="00CC0874" w:rsidRDefault="00CC0874" w:rsidP="00CC0874">
      <w:pPr>
        <w:autoSpaceDE w:val="0"/>
        <w:autoSpaceDN w:val="0"/>
        <w:adjustRightInd w:val="0"/>
        <w:jc w:val="both"/>
      </w:pPr>
      <w:r w:rsidRPr="00CC0874">
        <w:t xml:space="preserve">Por otra parte, el impacto del comportamiento de la tasa de rendimiento sobre el costo financiero del stock de deuda en </w:t>
      </w:r>
      <w:r w:rsidR="00CA7F05">
        <w:t>q</w:t>
      </w:r>
      <w:r w:rsidRPr="00CC0874">
        <w:t xml:space="preserve">uetzales, tuvo una disminución de 20 </w:t>
      </w:r>
      <w:r w:rsidR="007C0505">
        <w:t>puntos básicos</w:t>
      </w:r>
      <w:r w:rsidRPr="00CC0874">
        <w:t xml:space="preserve">, de un 8.5% al cierre de 2015 </w:t>
      </w:r>
      <w:r w:rsidR="009F6567">
        <w:t xml:space="preserve">a </w:t>
      </w:r>
      <w:r w:rsidRPr="00CC0874">
        <w:t>un 8.3% a</w:t>
      </w:r>
      <w:r w:rsidR="00722020">
        <w:t>l 30 de</w:t>
      </w:r>
      <w:r w:rsidRPr="00CC0874">
        <w:t xml:space="preserve"> junio de 2016, lo cual ha contribuido </w:t>
      </w:r>
      <w:r w:rsidR="009F6567">
        <w:t>a</w:t>
      </w:r>
      <w:r w:rsidRPr="00CC0874">
        <w:t xml:space="preserve"> que en los eventos de colocación de bonos del tesoro, la adjudicación ha</w:t>
      </w:r>
      <w:r w:rsidR="009F6567">
        <w:t>ya</w:t>
      </w:r>
      <w:r w:rsidRPr="00CC0874">
        <w:t xml:space="preserve"> sido realizada principalmente a precios con prima</w:t>
      </w:r>
      <w:r w:rsidRPr="00CC0874">
        <w:rPr>
          <w:vertAlign w:val="superscript"/>
        </w:rPr>
        <w:footnoteReference w:id="9"/>
      </w:r>
      <w:r w:rsidRPr="00CC0874">
        <w:t xml:space="preserve">. Por otra parte, el plazo promedio del stock de deuda interna en quetzales aumentó de una vida media de 12.3 </w:t>
      </w:r>
      <w:r w:rsidR="00CA7F05">
        <w:t xml:space="preserve"> </w:t>
      </w:r>
      <w:r w:rsidRPr="00CC0874">
        <w:t>a</w:t>
      </w:r>
      <w:r w:rsidR="00CA7F05">
        <w:t xml:space="preserve"> </w:t>
      </w:r>
      <w:r w:rsidRPr="00CC0874">
        <w:t xml:space="preserve"> 12.7 años a</w:t>
      </w:r>
      <w:r w:rsidR="00CA7F05">
        <w:t>l 30 de</w:t>
      </w:r>
      <w:r w:rsidRPr="00CC0874">
        <w:t xml:space="preserve"> junio de 2016</w:t>
      </w:r>
      <w:r w:rsidRPr="00CC0874">
        <w:rPr>
          <w:vertAlign w:val="superscript"/>
        </w:rPr>
        <w:footnoteReference w:id="10"/>
      </w:r>
      <w:r w:rsidRPr="00CC0874">
        <w:t xml:space="preserve">. En lo que se refiere a la tasa de interés promedio ponderada del stock de deuda interna en dólares y la vida media del portafolio, </w:t>
      </w:r>
      <w:r w:rsidR="00CA7F05">
        <w:t>é</w:t>
      </w:r>
      <w:r w:rsidRPr="00CC0874">
        <w:t>stas se mantuvieron constantes debido a que en el presente año no se han realizado emisiones de títulos valores en dólares en el mercado doméstico.</w:t>
      </w:r>
    </w:p>
    <w:p w:rsidR="00CC0874" w:rsidRPr="00CC0874" w:rsidRDefault="00CC0874" w:rsidP="00CC0874">
      <w:pPr>
        <w:autoSpaceDE w:val="0"/>
        <w:autoSpaceDN w:val="0"/>
        <w:adjustRightInd w:val="0"/>
        <w:ind w:firstLine="426"/>
        <w:jc w:val="both"/>
        <w:rPr>
          <w:sz w:val="18"/>
        </w:rPr>
      </w:pPr>
    </w:p>
    <w:p w:rsidR="00CC0874" w:rsidRPr="00CC0874" w:rsidRDefault="00CC0874" w:rsidP="00CC0874">
      <w:pPr>
        <w:autoSpaceDE w:val="0"/>
        <w:autoSpaceDN w:val="0"/>
        <w:adjustRightInd w:val="0"/>
        <w:jc w:val="both"/>
      </w:pPr>
      <w:r w:rsidRPr="00CC0874">
        <w:t xml:space="preserve">Es oportuno señalar que en el presente </w:t>
      </w:r>
      <w:r w:rsidR="00A0357E">
        <w:t>E</w:t>
      </w:r>
      <w:r w:rsidRPr="00CC0874">
        <w:t xml:space="preserve">jercicio </w:t>
      </w:r>
      <w:r w:rsidR="00A0357E">
        <w:t>F</w:t>
      </w:r>
      <w:r w:rsidRPr="00CC0874">
        <w:t xml:space="preserve">iscal se ha continuado con la utilización del </w:t>
      </w:r>
      <w:r w:rsidR="00CA7F05">
        <w:t>m</w:t>
      </w:r>
      <w:r w:rsidRPr="00CC0874">
        <w:t>odelo Nelson-Siegel para estimar el nivel de las tasas de rendimiento de los Bonos del Tesoro, lo cual ha permitido una mejor valoración del cupón de las series de bonos del tesoro.</w:t>
      </w:r>
    </w:p>
    <w:p w:rsidR="00CC0874" w:rsidRPr="00CC0874" w:rsidRDefault="00CC0874" w:rsidP="00CC0874">
      <w:pPr>
        <w:autoSpaceDE w:val="0"/>
        <w:autoSpaceDN w:val="0"/>
        <w:adjustRightInd w:val="0"/>
        <w:jc w:val="both"/>
      </w:pPr>
    </w:p>
    <w:p w:rsidR="00CC0874" w:rsidRPr="00CC0874" w:rsidRDefault="00CC0874" w:rsidP="00CC0874">
      <w:pPr>
        <w:autoSpaceDE w:val="0"/>
        <w:autoSpaceDN w:val="0"/>
        <w:adjustRightInd w:val="0"/>
        <w:jc w:val="both"/>
        <w:rPr>
          <w:color w:val="000000"/>
        </w:rPr>
      </w:pPr>
      <w:r w:rsidRPr="00CC0874">
        <w:rPr>
          <w:color w:val="000000"/>
        </w:rPr>
        <w:t xml:space="preserve">Por otra parte, cabe indicar que el 28 de abril de 2016 se llevó a cabo la emisión, negociación y colocación de los bonos en el mercado financiero internacional, con liquidación el 3 de mayo de este año. El Ministerio de Finanzas Públicas inició la transacción con un objetivo de colocación de hasta US$700.0 millones, a un plazo de 10 años (fecha de vencimiento </w:t>
      </w:r>
      <w:r w:rsidR="00CA7F05">
        <w:rPr>
          <w:color w:val="000000"/>
        </w:rPr>
        <w:t xml:space="preserve">al 3 de mayo de </w:t>
      </w:r>
      <w:r w:rsidRPr="00CC0874">
        <w:rPr>
          <w:color w:val="000000"/>
        </w:rPr>
        <w:t>2026). El monto de la demanda recibida sumó US$3,066.37 millones. El cierre de la colocación se pactó a un precio de 99.206%, con un cupón del 4.500% y un rendimiento de 4.600%, alcanzando un desempeño al 30 de junio de 2016 de 101.394% (precio) y 4.324% (tasa de rendimiento), debido a la amplia aceptación que posee esta emisión en el mercado internacional</w:t>
      </w:r>
      <w:r w:rsidR="009F6567">
        <w:rPr>
          <w:color w:val="000000"/>
        </w:rPr>
        <w:t xml:space="preserve">. </w:t>
      </w:r>
      <w:r w:rsidRPr="00CC0874">
        <w:rPr>
          <w:color w:val="000000"/>
        </w:rPr>
        <w:t>Es importante mencionar que esta colocación ha sido la más exitosa que ha logrado el país, desde la primera que se realizó en 1997, en función de sus tasas de rendimiento y de cupón.</w:t>
      </w:r>
    </w:p>
    <w:p w:rsidR="00CC0874" w:rsidRDefault="00CC0874" w:rsidP="00CC0874">
      <w:pPr>
        <w:autoSpaceDE w:val="0"/>
        <w:autoSpaceDN w:val="0"/>
        <w:adjustRightInd w:val="0"/>
        <w:jc w:val="both"/>
      </w:pPr>
    </w:p>
    <w:p w:rsidR="00A0357E" w:rsidRPr="00CC0874" w:rsidRDefault="00A0357E" w:rsidP="00CC0874">
      <w:pPr>
        <w:autoSpaceDE w:val="0"/>
        <w:autoSpaceDN w:val="0"/>
        <w:adjustRightInd w:val="0"/>
        <w:jc w:val="both"/>
      </w:pPr>
    </w:p>
    <w:p w:rsidR="00CC0874" w:rsidRPr="00CC0874" w:rsidRDefault="00CC0874" w:rsidP="00CC0874">
      <w:pPr>
        <w:keepNext/>
        <w:keepLines/>
        <w:numPr>
          <w:ilvl w:val="1"/>
          <w:numId w:val="4"/>
        </w:numPr>
        <w:ind w:left="567" w:hanging="567"/>
        <w:outlineLvl w:val="2"/>
        <w:rPr>
          <w:b/>
          <w:bCs/>
        </w:rPr>
      </w:pPr>
      <w:bookmarkStart w:id="24" w:name="_Toc426531163"/>
      <w:bookmarkStart w:id="25" w:name="_Toc460422681"/>
      <w:r w:rsidRPr="00CC0874">
        <w:rPr>
          <w:b/>
          <w:bCs/>
        </w:rPr>
        <w:t>Desembolsos de préstamos externos</w:t>
      </w:r>
      <w:bookmarkEnd w:id="24"/>
      <w:bookmarkEnd w:id="25"/>
    </w:p>
    <w:p w:rsidR="00CC0874" w:rsidRPr="00CC0874" w:rsidRDefault="00CC0874" w:rsidP="00CC0874">
      <w:pPr>
        <w:autoSpaceDE w:val="0"/>
        <w:autoSpaceDN w:val="0"/>
        <w:adjustRightInd w:val="0"/>
        <w:rPr>
          <w:b/>
          <w:color w:val="000000"/>
          <w:sz w:val="14"/>
        </w:rPr>
      </w:pPr>
    </w:p>
    <w:p w:rsidR="00CC0874" w:rsidRPr="00CC0874" w:rsidRDefault="00CC0874" w:rsidP="00CC0874">
      <w:pPr>
        <w:autoSpaceDE w:val="0"/>
        <w:autoSpaceDN w:val="0"/>
        <w:adjustRightInd w:val="0"/>
        <w:jc w:val="both"/>
        <w:rPr>
          <w:rFonts w:eastAsia="Calibri"/>
          <w:color w:val="000000"/>
          <w:lang w:val="es-GT" w:eastAsia="en-US"/>
        </w:rPr>
      </w:pPr>
      <w:r w:rsidRPr="00CC0874">
        <w:rPr>
          <w:rFonts w:eastAsia="Calibri"/>
          <w:color w:val="000000"/>
          <w:lang w:val="es-GT" w:eastAsia="en-US"/>
        </w:rPr>
        <w:t>Los desembolsos de préstamos externos al 30 de junio de 2016 ascendieron a Q179.2 millones. El mayor aporte se obtuvo del Banco Centroamericano de Integración Económica (BCIE) con Q76.6 millones, representando el 42.7% del total; le sigue el Banco Interamericano de Desarrollo (BID) con Q</w:t>
      </w:r>
      <w:r w:rsidR="00CA7F05">
        <w:rPr>
          <w:rFonts w:eastAsia="Calibri"/>
          <w:color w:val="000000"/>
          <w:lang w:val="es-GT" w:eastAsia="en-US"/>
        </w:rPr>
        <w:t>7</w:t>
      </w:r>
      <w:r w:rsidRPr="00CC0874">
        <w:rPr>
          <w:rFonts w:eastAsia="Calibri"/>
          <w:color w:val="000000"/>
          <w:lang w:val="es-GT" w:eastAsia="en-US"/>
        </w:rPr>
        <w:t xml:space="preserve">0.9 millones y el Fondo Internacional de Desarrollo Agrícola (FIDA) con Q18.2 millones. Los desembolsos provenientes de préstamos externos representan el 0.25% del </w:t>
      </w:r>
      <w:r w:rsidR="00CA7F05">
        <w:rPr>
          <w:rFonts w:eastAsia="Calibri"/>
          <w:color w:val="000000"/>
          <w:lang w:val="es-GT" w:eastAsia="en-US"/>
        </w:rPr>
        <w:t>P</w:t>
      </w:r>
      <w:r w:rsidRPr="00CC0874">
        <w:rPr>
          <w:rFonts w:eastAsia="Calibri"/>
          <w:color w:val="000000"/>
          <w:lang w:val="es-GT" w:eastAsia="en-US"/>
        </w:rPr>
        <w:t xml:space="preserve">resupuesto de </w:t>
      </w:r>
      <w:r w:rsidR="00CA7F05">
        <w:rPr>
          <w:rFonts w:eastAsia="Calibri"/>
          <w:color w:val="000000"/>
          <w:lang w:val="es-GT" w:eastAsia="en-US"/>
        </w:rPr>
        <w:t>E</w:t>
      </w:r>
      <w:r w:rsidRPr="00CC0874">
        <w:rPr>
          <w:rFonts w:eastAsia="Calibri"/>
          <w:color w:val="000000"/>
          <w:lang w:val="es-GT" w:eastAsia="en-US"/>
        </w:rPr>
        <w:t xml:space="preserve">gresos vigente </w:t>
      </w:r>
      <w:r w:rsidR="009F6567">
        <w:rPr>
          <w:rFonts w:eastAsia="Calibri"/>
          <w:color w:val="000000"/>
          <w:lang w:val="es-GT" w:eastAsia="en-US"/>
        </w:rPr>
        <w:t xml:space="preserve">para el </w:t>
      </w:r>
      <w:r w:rsidR="00CA7F05">
        <w:rPr>
          <w:rFonts w:eastAsia="Calibri"/>
          <w:color w:val="000000"/>
          <w:lang w:val="es-GT" w:eastAsia="en-US"/>
        </w:rPr>
        <w:t>E</w:t>
      </w:r>
      <w:r w:rsidR="009F6567">
        <w:rPr>
          <w:rFonts w:eastAsia="Calibri"/>
          <w:color w:val="000000"/>
          <w:lang w:val="es-GT" w:eastAsia="en-US"/>
        </w:rPr>
        <w:t xml:space="preserve">jercicio </w:t>
      </w:r>
      <w:r w:rsidR="00CA7F05">
        <w:rPr>
          <w:rFonts w:eastAsia="Calibri"/>
          <w:color w:val="000000"/>
          <w:lang w:val="es-GT" w:eastAsia="en-US"/>
        </w:rPr>
        <w:t>F</w:t>
      </w:r>
      <w:r w:rsidR="009F6567">
        <w:rPr>
          <w:rFonts w:eastAsia="Calibri"/>
          <w:color w:val="000000"/>
          <w:lang w:val="es-GT" w:eastAsia="en-US"/>
        </w:rPr>
        <w:t xml:space="preserve">iscal </w:t>
      </w:r>
      <w:r w:rsidRPr="00CC0874">
        <w:rPr>
          <w:rFonts w:eastAsia="Calibri"/>
          <w:color w:val="000000"/>
          <w:lang w:val="es-GT" w:eastAsia="en-US"/>
        </w:rPr>
        <w:t>2016.</w:t>
      </w:r>
    </w:p>
    <w:p w:rsidR="00CC0874" w:rsidRPr="00CC0874" w:rsidRDefault="00CC0874" w:rsidP="00CC0874">
      <w:pPr>
        <w:autoSpaceDE w:val="0"/>
        <w:autoSpaceDN w:val="0"/>
        <w:adjustRightInd w:val="0"/>
        <w:jc w:val="both"/>
        <w:rPr>
          <w:lang w:val="es-GT"/>
        </w:rPr>
      </w:pPr>
    </w:p>
    <w:p w:rsidR="00CC0874" w:rsidRPr="00CC0874" w:rsidRDefault="00CC0874" w:rsidP="00CC0874">
      <w:pPr>
        <w:jc w:val="center"/>
        <w:rPr>
          <w:b/>
          <w:sz w:val="22"/>
          <w:lang w:val="es-MX"/>
        </w:rPr>
      </w:pPr>
      <w:r w:rsidRPr="00CC0874">
        <w:rPr>
          <w:b/>
          <w:sz w:val="22"/>
          <w:lang w:val="es-MX"/>
        </w:rPr>
        <w:t xml:space="preserve">Cuadro </w:t>
      </w:r>
      <w:r w:rsidR="00D04D9F">
        <w:rPr>
          <w:b/>
          <w:sz w:val="22"/>
          <w:lang w:val="es-MX"/>
        </w:rPr>
        <w:t>12</w:t>
      </w:r>
    </w:p>
    <w:p w:rsidR="00CC0874" w:rsidRPr="00CC0874" w:rsidRDefault="00CC0874" w:rsidP="00CC0874">
      <w:pPr>
        <w:jc w:val="center"/>
        <w:rPr>
          <w:b/>
          <w:sz w:val="22"/>
          <w:lang w:val="es-MX"/>
        </w:rPr>
      </w:pPr>
      <w:r w:rsidRPr="00CC0874">
        <w:rPr>
          <w:b/>
          <w:sz w:val="22"/>
          <w:lang w:val="es-MX"/>
        </w:rPr>
        <w:t>Organismos Financieros Internacionales: Desembolsos Recibidos</w:t>
      </w:r>
    </w:p>
    <w:p w:rsidR="00CC0874" w:rsidRPr="00A0357E" w:rsidRDefault="00CC0874" w:rsidP="00CC0874">
      <w:pPr>
        <w:jc w:val="center"/>
        <w:rPr>
          <w:i/>
          <w:sz w:val="22"/>
          <w:lang w:val="es-MX"/>
        </w:rPr>
      </w:pPr>
      <w:r w:rsidRPr="00A0357E">
        <w:rPr>
          <w:i/>
          <w:sz w:val="22"/>
          <w:lang w:val="es-MX"/>
        </w:rPr>
        <w:t>Al 30 de junio de 2016</w:t>
      </w:r>
      <w:r w:rsidR="00CA7F05" w:rsidRPr="00A0357E">
        <w:rPr>
          <w:i/>
          <w:sz w:val="22"/>
          <w:lang w:val="es-MX"/>
        </w:rPr>
        <w:t>*</w:t>
      </w:r>
    </w:p>
    <w:p w:rsidR="00CC0874" w:rsidRPr="00A0357E" w:rsidRDefault="00CC0874" w:rsidP="00CC0874">
      <w:pPr>
        <w:jc w:val="center"/>
        <w:rPr>
          <w:i/>
          <w:sz w:val="22"/>
          <w:lang w:val="es-MX"/>
        </w:rPr>
      </w:pPr>
      <w:r w:rsidRPr="00A0357E">
        <w:rPr>
          <w:i/>
          <w:sz w:val="22"/>
          <w:lang w:val="es-MX"/>
        </w:rPr>
        <w:t>(Cifras en Millones de Quetzales y Porcentajes)</w:t>
      </w:r>
    </w:p>
    <w:p w:rsidR="00CC0874" w:rsidRPr="00A0357E" w:rsidRDefault="00CC0874" w:rsidP="00CC0874">
      <w:pPr>
        <w:jc w:val="center"/>
        <w:rPr>
          <w:b/>
          <w:i/>
          <w:sz w:val="22"/>
          <w:lang w:val="es-MX"/>
        </w:rPr>
      </w:pPr>
    </w:p>
    <w:p w:rsidR="00CC0874" w:rsidRPr="00CC0874" w:rsidRDefault="00CC0874" w:rsidP="00CC0874">
      <w:pPr>
        <w:autoSpaceDE w:val="0"/>
        <w:autoSpaceDN w:val="0"/>
        <w:adjustRightInd w:val="0"/>
        <w:jc w:val="center"/>
        <w:rPr>
          <w:color w:val="000000"/>
        </w:rPr>
      </w:pPr>
      <w:r w:rsidRPr="00CC0874">
        <w:rPr>
          <w:noProof/>
          <w:sz w:val="22"/>
          <w:lang w:val="es-GT" w:eastAsia="es-GT"/>
        </w:rPr>
        <w:drawing>
          <wp:inline distT="0" distB="0" distL="0" distR="0" wp14:anchorId="6D2A258F" wp14:editId="04EFD57D">
            <wp:extent cx="5638800" cy="1476375"/>
            <wp:effectExtent l="0" t="0" r="0" b="9525"/>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8800" cy="1476375"/>
                    </a:xfrm>
                    <a:prstGeom prst="rect">
                      <a:avLst/>
                    </a:prstGeom>
                    <a:noFill/>
                    <a:ln>
                      <a:noFill/>
                    </a:ln>
                  </pic:spPr>
                </pic:pic>
              </a:graphicData>
            </a:graphic>
          </wp:inline>
        </w:drawing>
      </w:r>
    </w:p>
    <w:p w:rsidR="00CC0874" w:rsidRPr="00CC0874" w:rsidRDefault="00CC0874" w:rsidP="00CC0874">
      <w:pPr>
        <w:rPr>
          <w:sz w:val="16"/>
          <w:lang w:val="es-MX"/>
        </w:rPr>
      </w:pPr>
      <w:r w:rsidRPr="00CC0874">
        <w:rPr>
          <w:sz w:val="16"/>
          <w:lang w:val="es-MX"/>
        </w:rPr>
        <w:t>Fuente: Ministerio de Finanzas Públicas con base al SICOIN.</w:t>
      </w:r>
    </w:p>
    <w:p w:rsidR="00CC0874" w:rsidRPr="00CC0874" w:rsidRDefault="00CC0874" w:rsidP="00CC0874">
      <w:pPr>
        <w:rPr>
          <w:sz w:val="16"/>
          <w:lang w:val="es-MX"/>
        </w:rPr>
      </w:pPr>
      <w:r w:rsidRPr="00CC0874">
        <w:rPr>
          <w:sz w:val="16"/>
          <w:lang w:val="es-MX"/>
        </w:rPr>
        <w:t>* Cifras preliminares</w:t>
      </w:r>
      <w:r w:rsidR="00CA7F05">
        <w:rPr>
          <w:sz w:val="16"/>
          <w:lang w:val="es-MX"/>
        </w:rPr>
        <w:t>.</w:t>
      </w:r>
    </w:p>
    <w:p w:rsidR="00A0357E" w:rsidRDefault="00A0357E" w:rsidP="00CC0874">
      <w:pPr>
        <w:jc w:val="both"/>
        <w:rPr>
          <w:lang w:val="es-MX"/>
        </w:rPr>
      </w:pPr>
    </w:p>
    <w:p w:rsidR="00A0357E" w:rsidRDefault="00A0357E" w:rsidP="00CC0874">
      <w:pPr>
        <w:jc w:val="both"/>
        <w:rPr>
          <w:lang w:val="es-MX"/>
        </w:rPr>
      </w:pPr>
    </w:p>
    <w:p w:rsidR="00A0357E" w:rsidRDefault="00A0357E" w:rsidP="00CC0874">
      <w:pPr>
        <w:jc w:val="both"/>
        <w:rPr>
          <w:lang w:val="es-MX"/>
        </w:rPr>
      </w:pPr>
    </w:p>
    <w:p w:rsidR="00A0357E" w:rsidRPr="00CC0874" w:rsidRDefault="00A0357E" w:rsidP="00CC0874">
      <w:pPr>
        <w:jc w:val="both"/>
        <w:rPr>
          <w:lang w:val="es-MX"/>
        </w:rPr>
      </w:pPr>
    </w:p>
    <w:p w:rsidR="00CC0874" w:rsidRPr="00CC0874" w:rsidRDefault="00CC0874" w:rsidP="00CC0874">
      <w:pPr>
        <w:jc w:val="both"/>
        <w:rPr>
          <w:lang w:val="es-MX"/>
        </w:rPr>
      </w:pPr>
    </w:p>
    <w:p w:rsidR="00CC0874" w:rsidRPr="00CC0874" w:rsidRDefault="00CC0874" w:rsidP="00CC0874">
      <w:pPr>
        <w:keepNext/>
        <w:keepLines/>
        <w:numPr>
          <w:ilvl w:val="1"/>
          <w:numId w:val="4"/>
        </w:numPr>
        <w:ind w:left="567" w:hanging="567"/>
        <w:outlineLvl w:val="2"/>
        <w:rPr>
          <w:b/>
          <w:bCs/>
        </w:rPr>
      </w:pPr>
      <w:bookmarkStart w:id="26" w:name="_Toc426531166"/>
      <w:bookmarkStart w:id="27" w:name="_Toc460422682"/>
      <w:r w:rsidRPr="00CC0874">
        <w:rPr>
          <w:b/>
          <w:bCs/>
        </w:rPr>
        <w:lastRenderedPageBreak/>
        <w:t>Servicio de la deuda pública</w:t>
      </w:r>
      <w:bookmarkEnd w:id="26"/>
      <w:bookmarkEnd w:id="27"/>
    </w:p>
    <w:p w:rsidR="00CC0874" w:rsidRPr="00CC0874" w:rsidRDefault="00CC0874" w:rsidP="00CC0874">
      <w:pPr>
        <w:jc w:val="both"/>
      </w:pPr>
    </w:p>
    <w:p w:rsidR="00CC0874" w:rsidRPr="00CC0874" w:rsidRDefault="00CC0874" w:rsidP="00CC0874">
      <w:pPr>
        <w:jc w:val="both"/>
        <w:rPr>
          <w:lang w:val="es-MX"/>
        </w:rPr>
      </w:pPr>
      <w:r w:rsidRPr="00CC0874">
        <w:rPr>
          <w:lang w:val="es-MX"/>
        </w:rPr>
        <w:t>El Ministerio de Finanzas Públicas ha efectuado el pago de las obligaciones programadas del servicio de la deuda pública, alcanzando una ejecución preliminar al 30 de junio de 201</w:t>
      </w:r>
      <w:r w:rsidR="00173EAE">
        <w:rPr>
          <w:lang w:val="es-MX"/>
        </w:rPr>
        <w:t>6</w:t>
      </w:r>
      <w:r w:rsidRPr="00CC0874">
        <w:rPr>
          <w:lang w:val="es-MX"/>
        </w:rPr>
        <w:t xml:space="preserve"> de Q5,154.5 millones, equivalentes al 55.4% del total del presupuesto asignado. Dicho monto se estructuró de la siguiente forma: deuda interna </w:t>
      </w:r>
      <w:r w:rsidR="009D7DEE">
        <w:rPr>
          <w:lang w:val="es-MX"/>
        </w:rPr>
        <w:t>por</w:t>
      </w:r>
      <w:r w:rsidRPr="00CC0874">
        <w:rPr>
          <w:lang w:val="es-MX"/>
        </w:rPr>
        <w:t xml:space="preserve"> Q2,508.3 millones, equivalentes al 48.7%; y deuda externa, con una ejecución </w:t>
      </w:r>
      <w:r w:rsidR="009D7DEE">
        <w:rPr>
          <w:lang w:val="es-MX"/>
        </w:rPr>
        <w:t>de</w:t>
      </w:r>
      <w:r w:rsidRPr="00CC0874">
        <w:rPr>
          <w:lang w:val="es-MX"/>
        </w:rPr>
        <w:t xml:space="preserve"> Q2,646.2 millones, correspondientes al 51.3%.</w:t>
      </w:r>
    </w:p>
    <w:p w:rsidR="00A0357E" w:rsidRDefault="00A0357E" w:rsidP="00CC0874">
      <w:pPr>
        <w:jc w:val="both"/>
        <w:rPr>
          <w:lang w:val="es-MX"/>
        </w:rPr>
      </w:pPr>
    </w:p>
    <w:p w:rsidR="00695001" w:rsidRPr="00CC0874" w:rsidRDefault="00695001" w:rsidP="00CC0874">
      <w:pPr>
        <w:jc w:val="both"/>
        <w:rPr>
          <w:lang w:val="es-MX"/>
        </w:rPr>
      </w:pPr>
    </w:p>
    <w:p w:rsidR="00CC0874" w:rsidRPr="00CC0874" w:rsidRDefault="00CC0874" w:rsidP="00173EAE">
      <w:pPr>
        <w:keepNext/>
        <w:keepLines/>
        <w:numPr>
          <w:ilvl w:val="1"/>
          <w:numId w:val="4"/>
        </w:numPr>
        <w:ind w:left="567" w:hanging="567"/>
        <w:outlineLvl w:val="2"/>
        <w:rPr>
          <w:b/>
          <w:bCs/>
        </w:rPr>
      </w:pPr>
      <w:bookmarkStart w:id="28" w:name="_Toc426531167"/>
      <w:bookmarkStart w:id="29" w:name="_Toc460422683"/>
      <w:r w:rsidRPr="00CC0874">
        <w:rPr>
          <w:b/>
          <w:bCs/>
        </w:rPr>
        <w:t>Cooperación financiera internacional reembolsable</w:t>
      </w:r>
      <w:bookmarkEnd w:id="28"/>
      <w:bookmarkEnd w:id="29"/>
    </w:p>
    <w:p w:rsidR="00CC0874" w:rsidRPr="00CC0874" w:rsidRDefault="00CC0874" w:rsidP="00CC0874">
      <w:pPr>
        <w:jc w:val="both"/>
        <w:rPr>
          <w:lang w:val="es-MX"/>
        </w:rPr>
      </w:pPr>
    </w:p>
    <w:p w:rsidR="00CC0874" w:rsidRPr="00CC0874" w:rsidRDefault="00CC0874" w:rsidP="00CC0874">
      <w:pPr>
        <w:jc w:val="both"/>
        <w:rPr>
          <w:lang w:val="es-MX"/>
        </w:rPr>
      </w:pPr>
      <w:r w:rsidRPr="00CC0874">
        <w:rPr>
          <w:lang w:val="es-MX"/>
        </w:rPr>
        <w:t xml:space="preserve">Durante el año 2016, está por suscribirse </w:t>
      </w:r>
      <w:r w:rsidR="00DB312A">
        <w:rPr>
          <w:lang w:val="es-MX"/>
        </w:rPr>
        <w:t>un</w:t>
      </w:r>
      <w:r w:rsidRPr="00CC0874">
        <w:rPr>
          <w:lang w:val="es-MX"/>
        </w:rPr>
        <w:t xml:space="preserve"> </w:t>
      </w:r>
      <w:r w:rsidR="00DB312A">
        <w:rPr>
          <w:lang w:val="es-MX"/>
        </w:rPr>
        <w:t>c</w:t>
      </w:r>
      <w:r w:rsidRPr="00CC0874">
        <w:rPr>
          <w:lang w:val="es-MX"/>
        </w:rPr>
        <w:t xml:space="preserve">ontrato de </w:t>
      </w:r>
      <w:r w:rsidR="00DB312A">
        <w:rPr>
          <w:lang w:val="es-MX"/>
        </w:rPr>
        <w:t>p</w:t>
      </w:r>
      <w:r w:rsidRPr="00CC0874">
        <w:rPr>
          <w:lang w:val="es-MX"/>
        </w:rPr>
        <w:t xml:space="preserve">réstamo con KfW de Alemania, orientado al </w:t>
      </w:r>
      <w:r w:rsidR="00695001">
        <w:rPr>
          <w:lang w:val="es-MX"/>
        </w:rPr>
        <w:t>“</w:t>
      </w:r>
      <w:r w:rsidRPr="00CC0874">
        <w:rPr>
          <w:lang w:val="es-MX"/>
        </w:rPr>
        <w:t>Programa de Educación Rural V (PROEDUC V)</w:t>
      </w:r>
      <w:r w:rsidR="00695001">
        <w:rPr>
          <w:lang w:val="es-MX"/>
        </w:rPr>
        <w:t>”</w:t>
      </w:r>
      <w:r w:rsidRPr="00CC0874">
        <w:rPr>
          <w:lang w:val="es-MX"/>
        </w:rPr>
        <w:t xml:space="preserve">, </w:t>
      </w:r>
      <w:r w:rsidR="00695001">
        <w:rPr>
          <w:lang w:val="es-MX"/>
        </w:rPr>
        <w:t xml:space="preserve"> </w:t>
      </w:r>
      <w:r w:rsidRPr="00CC0874">
        <w:rPr>
          <w:lang w:val="es-MX"/>
        </w:rPr>
        <w:t>por 21.0 millones</w:t>
      </w:r>
      <w:r w:rsidR="00173EAE">
        <w:rPr>
          <w:lang w:val="es-MX"/>
        </w:rPr>
        <w:t xml:space="preserve"> de Euros</w:t>
      </w:r>
      <w:r w:rsidRPr="00CC0874">
        <w:rPr>
          <w:lang w:val="es-MX"/>
        </w:rPr>
        <w:t xml:space="preserve">, </w:t>
      </w:r>
      <w:r w:rsidR="00173EAE">
        <w:rPr>
          <w:lang w:val="es-MX"/>
        </w:rPr>
        <w:t xml:space="preserve">esta </w:t>
      </w:r>
      <w:r w:rsidR="00695001">
        <w:rPr>
          <w:lang w:val="es-MX"/>
        </w:rPr>
        <w:t xml:space="preserve"> </w:t>
      </w:r>
      <w:r w:rsidRPr="00CC0874">
        <w:rPr>
          <w:lang w:val="es-MX"/>
        </w:rPr>
        <w:t xml:space="preserve">operación </w:t>
      </w:r>
      <w:r w:rsidR="00695001">
        <w:rPr>
          <w:lang w:val="es-MX"/>
        </w:rPr>
        <w:t xml:space="preserve"> </w:t>
      </w:r>
      <w:r w:rsidRPr="00CC0874">
        <w:rPr>
          <w:lang w:val="es-MX"/>
        </w:rPr>
        <w:t xml:space="preserve">fue </w:t>
      </w:r>
      <w:r w:rsidR="00695001">
        <w:rPr>
          <w:lang w:val="es-MX"/>
        </w:rPr>
        <w:t xml:space="preserve"> </w:t>
      </w:r>
      <w:r w:rsidRPr="00CC0874">
        <w:rPr>
          <w:lang w:val="es-MX"/>
        </w:rPr>
        <w:t xml:space="preserve">autorizada </w:t>
      </w:r>
      <w:r w:rsidR="00695001">
        <w:rPr>
          <w:lang w:val="es-MX"/>
        </w:rPr>
        <w:t xml:space="preserve"> </w:t>
      </w:r>
      <w:r w:rsidRPr="00CC0874">
        <w:rPr>
          <w:lang w:val="es-MX"/>
        </w:rPr>
        <w:t>por</w:t>
      </w:r>
      <w:r w:rsidR="00695001">
        <w:rPr>
          <w:lang w:val="es-MX"/>
        </w:rPr>
        <w:t xml:space="preserve"> </w:t>
      </w:r>
      <w:r w:rsidRPr="00CC0874">
        <w:rPr>
          <w:lang w:val="es-MX"/>
        </w:rPr>
        <w:t xml:space="preserve"> el</w:t>
      </w:r>
      <w:r w:rsidR="00695001">
        <w:rPr>
          <w:lang w:val="es-MX"/>
        </w:rPr>
        <w:t xml:space="preserve"> </w:t>
      </w:r>
      <w:r w:rsidRPr="00CC0874">
        <w:rPr>
          <w:lang w:val="es-MX"/>
        </w:rPr>
        <w:t xml:space="preserve"> Congreso </w:t>
      </w:r>
      <w:r w:rsidR="00695001">
        <w:rPr>
          <w:lang w:val="es-MX"/>
        </w:rPr>
        <w:t xml:space="preserve"> </w:t>
      </w:r>
      <w:r w:rsidRPr="00CC0874">
        <w:rPr>
          <w:lang w:val="es-MX"/>
        </w:rPr>
        <w:t xml:space="preserve">de </w:t>
      </w:r>
      <w:r w:rsidR="00695001">
        <w:rPr>
          <w:lang w:val="es-MX"/>
        </w:rPr>
        <w:t xml:space="preserve"> </w:t>
      </w:r>
      <w:r w:rsidRPr="00CC0874">
        <w:rPr>
          <w:lang w:val="es-MX"/>
        </w:rPr>
        <w:t xml:space="preserve">la </w:t>
      </w:r>
      <w:r w:rsidR="00695001">
        <w:rPr>
          <w:lang w:val="es-MX"/>
        </w:rPr>
        <w:t xml:space="preserve"> </w:t>
      </w:r>
      <w:r w:rsidRPr="00CC0874">
        <w:rPr>
          <w:lang w:val="es-MX"/>
        </w:rPr>
        <w:t xml:space="preserve">República </w:t>
      </w:r>
      <w:r w:rsidR="00695001">
        <w:rPr>
          <w:lang w:val="es-MX"/>
        </w:rPr>
        <w:t xml:space="preserve"> </w:t>
      </w:r>
      <w:r w:rsidRPr="00CC0874">
        <w:rPr>
          <w:lang w:val="es-MX"/>
        </w:rPr>
        <w:t>por medio</w:t>
      </w:r>
      <w:r w:rsidR="00695001">
        <w:rPr>
          <w:lang w:val="es-MX"/>
        </w:rPr>
        <w:t xml:space="preserve"> </w:t>
      </w:r>
      <w:r w:rsidRPr="00CC0874">
        <w:rPr>
          <w:lang w:val="es-MX"/>
        </w:rPr>
        <w:t xml:space="preserve"> del Decreto No. 3-2015. </w:t>
      </w:r>
      <w:r w:rsidR="009D7DEE">
        <w:rPr>
          <w:lang w:val="es-MX"/>
        </w:rPr>
        <w:t>L</w:t>
      </w:r>
      <w:r w:rsidRPr="00CC0874">
        <w:rPr>
          <w:lang w:val="es-MX"/>
        </w:rPr>
        <w:t>a suscripción está sujeta a que el K</w:t>
      </w:r>
      <w:r w:rsidR="00DB312A">
        <w:rPr>
          <w:lang w:val="es-MX"/>
        </w:rPr>
        <w:t>f</w:t>
      </w:r>
      <w:r w:rsidRPr="00CC0874">
        <w:rPr>
          <w:lang w:val="es-MX"/>
        </w:rPr>
        <w:t xml:space="preserve">W finalice la negociación del Acuerdo Separado con el Ministerio de Educación, condición que ese </w:t>
      </w:r>
      <w:r w:rsidR="00DB312A">
        <w:rPr>
          <w:lang w:val="es-MX"/>
        </w:rPr>
        <w:t>o</w:t>
      </w:r>
      <w:r w:rsidRPr="00CC0874">
        <w:rPr>
          <w:lang w:val="es-MX"/>
        </w:rPr>
        <w:t xml:space="preserve">rganismo </w:t>
      </w:r>
      <w:r w:rsidR="00DB312A">
        <w:rPr>
          <w:lang w:val="es-MX"/>
        </w:rPr>
        <w:t>f</w:t>
      </w:r>
      <w:r w:rsidRPr="00CC0874">
        <w:rPr>
          <w:lang w:val="es-MX"/>
        </w:rPr>
        <w:t>inanciero ha fijado para agilizar el primer desembolso.</w:t>
      </w:r>
      <w:r w:rsidR="009D7DEE">
        <w:rPr>
          <w:lang w:val="es-MX"/>
        </w:rPr>
        <w:t xml:space="preserve"> </w:t>
      </w:r>
      <w:r w:rsidRPr="00CC0874">
        <w:rPr>
          <w:lang w:val="es-MX"/>
        </w:rPr>
        <w:t>Por otra parte, se encuentran pendientes de aprobación en el Congreso de la República, tres operaciones de préstamos por un monto total estimado de US$286.0 millones.</w:t>
      </w:r>
    </w:p>
    <w:p w:rsidR="00695001" w:rsidRDefault="00695001" w:rsidP="00CC0874">
      <w:pPr>
        <w:jc w:val="center"/>
        <w:rPr>
          <w:b/>
          <w:sz w:val="22"/>
          <w:lang w:val="es-MX"/>
        </w:rPr>
      </w:pPr>
    </w:p>
    <w:p w:rsidR="00CC0874" w:rsidRPr="00CC0874" w:rsidRDefault="00CC0874" w:rsidP="00CC0874">
      <w:pPr>
        <w:jc w:val="center"/>
        <w:rPr>
          <w:b/>
          <w:sz w:val="22"/>
          <w:lang w:val="es-MX"/>
        </w:rPr>
      </w:pPr>
      <w:r w:rsidRPr="00CC0874">
        <w:rPr>
          <w:b/>
          <w:sz w:val="22"/>
          <w:lang w:val="es-MX"/>
        </w:rPr>
        <w:t xml:space="preserve">Cuadro </w:t>
      </w:r>
      <w:r w:rsidR="00173EAE">
        <w:rPr>
          <w:b/>
          <w:sz w:val="22"/>
          <w:lang w:val="es-MX"/>
        </w:rPr>
        <w:t>1</w:t>
      </w:r>
      <w:r w:rsidR="00D04D9F">
        <w:rPr>
          <w:b/>
          <w:sz w:val="22"/>
          <w:lang w:val="es-MX"/>
        </w:rPr>
        <w:t>3</w:t>
      </w:r>
    </w:p>
    <w:p w:rsidR="00CC0874" w:rsidRPr="00CC0874" w:rsidRDefault="00CC0874" w:rsidP="00CC0874">
      <w:pPr>
        <w:jc w:val="center"/>
        <w:rPr>
          <w:b/>
          <w:sz w:val="22"/>
          <w:lang w:val="es-MX"/>
        </w:rPr>
      </w:pPr>
      <w:r w:rsidRPr="00CC0874">
        <w:rPr>
          <w:b/>
          <w:sz w:val="22"/>
          <w:lang w:val="es-MX"/>
        </w:rPr>
        <w:t>Préstamos Pendientes de Aprobación</w:t>
      </w:r>
      <w:r w:rsidR="00A0357E">
        <w:rPr>
          <w:b/>
          <w:sz w:val="22"/>
          <w:lang w:val="es-MX"/>
        </w:rPr>
        <w:t xml:space="preserve"> en el Congreso de la República</w:t>
      </w:r>
    </w:p>
    <w:p w:rsidR="00CC0874" w:rsidRPr="009D7DEE" w:rsidRDefault="00CC0874" w:rsidP="00CC0874">
      <w:pPr>
        <w:jc w:val="center"/>
        <w:rPr>
          <w:i/>
          <w:sz w:val="22"/>
          <w:lang w:val="es-MX"/>
        </w:rPr>
      </w:pPr>
      <w:r w:rsidRPr="009D7DEE">
        <w:rPr>
          <w:i/>
          <w:sz w:val="22"/>
          <w:lang w:val="es-MX"/>
        </w:rPr>
        <w:t>(En Millones de Dólares)</w:t>
      </w:r>
    </w:p>
    <w:p w:rsidR="00CC0874" w:rsidRPr="00CC0874" w:rsidRDefault="00CC0874" w:rsidP="00BA6EEB">
      <w:pPr>
        <w:ind w:right="49"/>
        <w:jc w:val="center"/>
      </w:pPr>
      <w:r w:rsidRPr="00CC0874">
        <w:rPr>
          <w:noProof/>
          <w:lang w:val="es-GT" w:eastAsia="es-GT"/>
        </w:rPr>
        <w:drawing>
          <wp:inline distT="0" distB="0" distL="0" distR="0" wp14:anchorId="6CE3A534" wp14:editId="7445A802">
            <wp:extent cx="5612130" cy="1579711"/>
            <wp:effectExtent l="0" t="0" r="7620" b="1905"/>
            <wp:docPr id="6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1579711"/>
                    </a:xfrm>
                    <a:prstGeom prst="rect">
                      <a:avLst/>
                    </a:prstGeom>
                    <a:noFill/>
                    <a:ln>
                      <a:noFill/>
                    </a:ln>
                  </pic:spPr>
                </pic:pic>
              </a:graphicData>
            </a:graphic>
          </wp:inline>
        </w:drawing>
      </w:r>
    </w:p>
    <w:p w:rsidR="00CC0874" w:rsidRPr="00CC0874" w:rsidRDefault="00CC0874" w:rsidP="00CC0874">
      <w:pPr>
        <w:rPr>
          <w:sz w:val="16"/>
          <w:szCs w:val="16"/>
        </w:rPr>
      </w:pPr>
      <w:r w:rsidRPr="00CC0874">
        <w:rPr>
          <w:sz w:val="16"/>
          <w:szCs w:val="16"/>
        </w:rPr>
        <w:t>*/ El monto del financiamiento fue negociado en Euros.</w:t>
      </w:r>
    </w:p>
    <w:p w:rsidR="00CC0874" w:rsidRPr="00CC0874" w:rsidRDefault="00CC0874" w:rsidP="00CC0874">
      <w:pPr>
        <w:rPr>
          <w:sz w:val="16"/>
          <w:lang w:val="es-MX"/>
        </w:rPr>
      </w:pPr>
      <w:r w:rsidRPr="00CC0874">
        <w:rPr>
          <w:sz w:val="16"/>
          <w:lang w:val="es-MX"/>
        </w:rPr>
        <w:t>Fuente: Ministerio de Finanzas Públicas.</w:t>
      </w:r>
    </w:p>
    <w:p w:rsidR="000C3FEC" w:rsidRPr="00CC0874" w:rsidRDefault="000C3FEC" w:rsidP="008F5FCE">
      <w:pPr>
        <w:jc w:val="both"/>
        <w:rPr>
          <w:highlight w:val="yellow"/>
          <w:lang w:val="es-MX"/>
        </w:rPr>
      </w:pPr>
    </w:p>
    <w:p w:rsidR="000C3FEC" w:rsidRPr="00BA6EEB" w:rsidRDefault="00BA6EEB" w:rsidP="008F5FCE">
      <w:pPr>
        <w:jc w:val="both"/>
      </w:pPr>
      <w:r w:rsidRPr="00BA6EEB">
        <w:t xml:space="preserve">De los tres préstamos </w:t>
      </w:r>
      <w:r>
        <w:t>indicados en el cuadro anterior, los dos primeros se encuentran incluidos en el Proyecto de Presupuesto General de Ingresos y Egresos del Estado para el Ejercicio Fiscal 2017, por lo que es importante que el Congreso de la República los apruebe para que puedan ser ejecutados oportunamente por los Ministerios respectivos y que no se constituyan únicamente como espacios presupuestarios.</w:t>
      </w:r>
    </w:p>
    <w:p w:rsidR="00173EAE" w:rsidRDefault="00173EAE">
      <w:pPr>
        <w:rPr>
          <w:highlight w:val="yellow"/>
        </w:rPr>
      </w:pPr>
    </w:p>
    <w:p w:rsidR="001E579E" w:rsidRDefault="001E579E">
      <w:pPr>
        <w:rPr>
          <w:highlight w:val="yellow"/>
        </w:rPr>
      </w:pPr>
    </w:p>
    <w:p w:rsidR="001E579E" w:rsidRDefault="001E579E">
      <w:pPr>
        <w:rPr>
          <w:highlight w:val="yellow"/>
        </w:rPr>
      </w:pPr>
    </w:p>
    <w:p w:rsidR="001E579E" w:rsidRDefault="001E579E">
      <w:pPr>
        <w:rPr>
          <w:highlight w:val="yellow"/>
        </w:rPr>
      </w:pPr>
    </w:p>
    <w:p w:rsidR="001E579E" w:rsidRDefault="001E579E">
      <w:pPr>
        <w:rPr>
          <w:highlight w:val="yellow"/>
        </w:rPr>
      </w:pPr>
    </w:p>
    <w:p w:rsidR="001E579E" w:rsidRDefault="001E579E">
      <w:pPr>
        <w:rPr>
          <w:highlight w:val="yellow"/>
        </w:rPr>
      </w:pPr>
    </w:p>
    <w:p w:rsidR="001E579E" w:rsidRDefault="001E579E">
      <w:pPr>
        <w:rPr>
          <w:highlight w:val="yellow"/>
        </w:rPr>
      </w:pPr>
    </w:p>
    <w:p w:rsidR="001E579E" w:rsidRPr="00A030D2" w:rsidRDefault="001E579E" w:rsidP="001E579E">
      <w:pPr>
        <w:jc w:val="both"/>
        <w:rPr>
          <w:highlight w:val="yellow"/>
        </w:rPr>
      </w:pPr>
    </w:p>
    <w:p w:rsidR="001E579E" w:rsidRPr="00B60FA5" w:rsidRDefault="001E579E" w:rsidP="001E579E">
      <w:pPr>
        <w:pStyle w:val="Ttulo1"/>
        <w:numPr>
          <w:ilvl w:val="0"/>
          <w:numId w:val="0"/>
        </w:numPr>
        <w:ind w:left="142"/>
        <w:rPr>
          <w:lang w:val="es-MX"/>
        </w:rPr>
      </w:pPr>
      <w:bookmarkStart w:id="30" w:name="_Toc460422684"/>
      <w:r>
        <w:rPr>
          <w:lang w:val="es-MX"/>
        </w:rPr>
        <w:lastRenderedPageBreak/>
        <w:t xml:space="preserve">III.  </w:t>
      </w:r>
      <w:r w:rsidRPr="00B60FA5">
        <w:rPr>
          <w:lang w:val="es-MX"/>
        </w:rPr>
        <w:t>Aspectos Relevantes enero</w:t>
      </w:r>
      <w:r>
        <w:rPr>
          <w:lang w:val="es-MX"/>
        </w:rPr>
        <w:t xml:space="preserve"> </w:t>
      </w:r>
      <w:r w:rsidRPr="00B60FA5">
        <w:rPr>
          <w:lang w:val="es-MX"/>
        </w:rPr>
        <w:t>-</w:t>
      </w:r>
      <w:r>
        <w:rPr>
          <w:lang w:val="es-MX"/>
        </w:rPr>
        <w:t xml:space="preserve"> </w:t>
      </w:r>
      <w:r w:rsidRPr="00B60FA5">
        <w:rPr>
          <w:lang w:val="es-MX"/>
        </w:rPr>
        <w:t xml:space="preserve">junio de </w:t>
      </w:r>
      <w:r>
        <w:rPr>
          <w:lang w:val="es-MX"/>
        </w:rPr>
        <w:t>2016</w:t>
      </w:r>
      <w:bookmarkEnd w:id="30"/>
    </w:p>
    <w:p w:rsidR="001E579E" w:rsidRPr="00B90428" w:rsidRDefault="001E579E" w:rsidP="001E579E">
      <w:pPr>
        <w:jc w:val="both"/>
        <w:rPr>
          <w:sz w:val="12"/>
          <w:highlight w:val="yellow"/>
          <w:lang w:val="es-MX"/>
        </w:rPr>
      </w:pPr>
    </w:p>
    <w:p w:rsidR="001E579E" w:rsidRPr="00B40A6C" w:rsidRDefault="001E579E" w:rsidP="001E579E">
      <w:pPr>
        <w:jc w:val="both"/>
        <w:rPr>
          <w:b/>
          <w:szCs w:val="28"/>
          <w:lang w:val="es-MX"/>
        </w:rPr>
      </w:pPr>
      <w:r w:rsidRPr="00B40A6C">
        <w:rPr>
          <w:b/>
          <w:szCs w:val="28"/>
          <w:lang w:val="es-MX"/>
        </w:rPr>
        <w:t xml:space="preserve">Consideraciones acerca de los riesgos fiscales </w:t>
      </w:r>
    </w:p>
    <w:p w:rsidR="001E579E" w:rsidRPr="00B90428" w:rsidRDefault="001E579E" w:rsidP="001E579E">
      <w:pPr>
        <w:jc w:val="both"/>
        <w:rPr>
          <w:b/>
          <w:sz w:val="8"/>
          <w:lang w:val="es-MX"/>
        </w:rPr>
      </w:pPr>
    </w:p>
    <w:p w:rsidR="001E579E" w:rsidRDefault="001E579E" w:rsidP="001E579E">
      <w:pPr>
        <w:spacing w:after="200"/>
        <w:jc w:val="both"/>
        <w:rPr>
          <w:rFonts w:eastAsia="Malgun Gothic"/>
          <w:lang w:val="es-GT" w:eastAsia="ko-KR"/>
        </w:rPr>
      </w:pPr>
      <w:r w:rsidRPr="00B40A6C">
        <w:rPr>
          <w:rFonts w:eastAsia="Malgun Gothic"/>
          <w:lang w:val="es-GT" w:eastAsia="ko-KR"/>
        </w:rPr>
        <w:t>En abril de 2016 una misión del Departamento de Finanzas Públicas (FAD) del Fondo Monetario Internacional (FMI) visitó Guatemala con el fin de realizar una Evaluación de Transparencia Fiscal</w:t>
      </w:r>
      <w:r>
        <w:rPr>
          <w:rFonts w:eastAsia="Malgun Gothic"/>
          <w:lang w:val="es-GT" w:eastAsia="ko-KR"/>
        </w:rPr>
        <w:t xml:space="preserve"> (FTA, por sus siglas en inglés),</w:t>
      </w:r>
      <w:r w:rsidRPr="00B40A6C">
        <w:rPr>
          <w:rFonts w:eastAsia="Malgun Gothic"/>
          <w:lang w:val="es-GT" w:eastAsia="ko-KR"/>
        </w:rPr>
        <w:t xml:space="preserve"> de acuerdo a los estándares del citado organismo internacional. Del resultado de esa evaluación se dio énfasis al tema de la gestión de riesgos fiscales, área </w:t>
      </w:r>
      <w:r>
        <w:rPr>
          <w:rFonts w:eastAsia="Malgun Gothic"/>
          <w:lang w:val="es-GT" w:eastAsia="ko-KR"/>
        </w:rPr>
        <w:t xml:space="preserve">en </w:t>
      </w:r>
      <w:r w:rsidRPr="00B40A6C">
        <w:rPr>
          <w:rFonts w:eastAsia="Malgun Gothic"/>
          <w:lang w:val="es-GT" w:eastAsia="ko-KR"/>
        </w:rPr>
        <w:t>donde existe</w:t>
      </w:r>
      <w:r>
        <w:rPr>
          <w:rFonts w:eastAsia="Malgun Gothic"/>
          <w:lang w:val="es-GT" w:eastAsia="ko-KR"/>
        </w:rPr>
        <w:t>n</w:t>
      </w:r>
      <w:r w:rsidRPr="00B40A6C">
        <w:rPr>
          <w:rFonts w:eastAsia="Malgun Gothic"/>
          <w:lang w:val="es-GT" w:eastAsia="ko-KR"/>
        </w:rPr>
        <w:t xml:space="preserve"> espacio</w:t>
      </w:r>
      <w:r>
        <w:rPr>
          <w:rFonts w:eastAsia="Malgun Gothic"/>
          <w:lang w:val="es-GT" w:eastAsia="ko-KR"/>
        </w:rPr>
        <w:t>s</w:t>
      </w:r>
      <w:r w:rsidRPr="00B40A6C">
        <w:rPr>
          <w:rFonts w:eastAsia="Malgun Gothic"/>
          <w:lang w:val="es-GT" w:eastAsia="ko-KR"/>
        </w:rPr>
        <w:t xml:space="preserve"> para mejorar al hacerse explícitos los riesgos presupuestarios por choques macroeconómicos, desastres ocasionados por fenómenos naturales y/o pasivos de la seguridad social sin financiamiento, entre otros. Por ello, el Ministerio de Finanzas Públicas, a través de la Dirección de Evaluación Fiscal (DEF), ha preparado </w:t>
      </w:r>
      <w:r>
        <w:rPr>
          <w:rFonts w:eastAsia="Malgun Gothic"/>
          <w:lang w:val="es-GT" w:eastAsia="ko-KR"/>
        </w:rPr>
        <w:t xml:space="preserve">una </w:t>
      </w:r>
      <w:r w:rsidRPr="00B40A6C">
        <w:rPr>
          <w:rFonts w:eastAsia="Malgun Gothic"/>
          <w:lang w:val="es-GT" w:eastAsia="ko-KR"/>
        </w:rPr>
        <w:t xml:space="preserve">nota técnica sobre riesgos fiscales para incluirse como un anexo </w:t>
      </w:r>
      <w:r>
        <w:rPr>
          <w:rFonts w:eastAsia="Malgun Gothic"/>
          <w:lang w:val="es-GT" w:eastAsia="ko-KR"/>
        </w:rPr>
        <w:t>del</w:t>
      </w:r>
      <w:r w:rsidRPr="00B40A6C">
        <w:rPr>
          <w:rFonts w:eastAsia="Malgun Gothic"/>
          <w:lang w:val="es-GT" w:eastAsia="ko-KR"/>
        </w:rPr>
        <w:t xml:space="preserve"> proyecto de presupuesto </w:t>
      </w:r>
      <w:r>
        <w:rPr>
          <w:rFonts w:eastAsia="Malgun Gothic"/>
          <w:lang w:val="es-GT" w:eastAsia="ko-KR"/>
        </w:rPr>
        <w:t xml:space="preserve">de ingresos y egresos </w:t>
      </w:r>
      <w:r w:rsidRPr="00B40A6C">
        <w:rPr>
          <w:rFonts w:eastAsia="Malgun Gothic"/>
          <w:lang w:val="es-GT" w:eastAsia="ko-KR"/>
        </w:rPr>
        <w:t>2017 y se tiene programada la elaboración de un reporte anual de riesgos fiscales, a publicarse en abril de cada año.</w:t>
      </w:r>
      <w:r w:rsidRPr="00B40A6C">
        <w:rPr>
          <w:rStyle w:val="Refdenotaalpie"/>
          <w:rFonts w:eastAsia="Malgun Gothic"/>
          <w:lang w:val="es-GT" w:eastAsia="ko-KR"/>
        </w:rPr>
        <w:footnoteReference w:id="11"/>
      </w:r>
      <w:r w:rsidRPr="00B40A6C">
        <w:rPr>
          <w:rFonts w:eastAsia="Malgun Gothic"/>
          <w:lang w:val="es-GT" w:eastAsia="ko-KR"/>
        </w:rPr>
        <w:t xml:space="preserve"> De esta manera, se ha iniciado con la consolidación de diferentes estudios de identificación, análisis y cuantificación de los riesgos fiscales que se presentan en el país. El objetivo es implementar una gestión comprensiva de estos riesgos, crear y fortalecer su resiliencia fiscal, es decir, la capacidad de respuesta del Estado ante la ocurrencia de un shock externo de cualquier origen.</w:t>
      </w:r>
    </w:p>
    <w:p w:rsidR="00047418" w:rsidRDefault="00047418" w:rsidP="00047418">
      <w:pPr>
        <w:jc w:val="center"/>
        <w:rPr>
          <w:b/>
          <w:sz w:val="22"/>
          <w:lang w:val="es-MX"/>
        </w:rPr>
      </w:pPr>
      <w:r w:rsidRPr="00CC0874">
        <w:rPr>
          <w:b/>
          <w:sz w:val="22"/>
          <w:lang w:val="es-MX"/>
        </w:rPr>
        <w:t xml:space="preserve">Gráfica </w:t>
      </w:r>
      <w:r>
        <w:rPr>
          <w:b/>
          <w:sz w:val="22"/>
          <w:lang w:val="es-MX"/>
        </w:rPr>
        <w:t>9</w:t>
      </w:r>
    </w:p>
    <w:p w:rsidR="00047418" w:rsidRDefault="00047418" w:rsidP="00047418">
      <w:pPr>
        <w:jc w:val="center"/>
        <w:rPr>
          <w:b/>
          <w:sz w:val="22"/>
          <w:lang w:val="es-MX"/>
        </w:rPr>
      </w:pPr>
      <w:r>
        <w:rPr>
          <w:b/>
          <w:sz w:val="22"/>
          <w:lang w:val="es-MX"/>
        </w:rPr>
        <w:t>Identificación de riesgos fiscales para Guatemala</w:t>
      </w:r>
      <w:r w:rsidRPr="00CC0874">
        <w:rPr>
          <w:b/>
          <w:sz w:val="22"/>
          <w:lang w:val="es-MX"/>
        </w:rPr>
        <w:br/>
      </w:r>
      <w:r w:rsidRPr="00047418">
        <w:rPr>
          <w:noProof/>
          <w:sz w:val="28"/>
          <w:lang w:val="es-GT" w:eastAsia="es-GT"/>
        </w:rPr>
        <w:drawing>
          <wp:inline distT="0" distB="0" distL="0" distR="0" wp14:anchorId="047CBC25" wp14:editId="404A88D2">
            <wp:extent cx="4653887" cy="3193649"/>
            <wp:effectExtent l="0" t="0" r="0" b="698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3887" cy="3193649"/>
                    </a:xfrm>
                    <a:prstGeom prst="rect">
                      <a:avLst/>
                    </a:prstGeom>
                    <a:noFill/>
                    <a:ln>
                      <a:noFill/>
                    </a:ln>
                    <a:effectLst/>
                    <a:extLst/>
                  </pic:spPr>
                </pic:pic>
              </a:graphicData>
            </a:graphic>
          </wp:inline>
        </w:drawing>
      </w:r>
    </w:p>
    <w:p w:rsidR="001E579E" w:rsidRPr="008926E9" w:rsidRDefault="00047418" w:rsidP="008926E9">
      <w:pPr>
        <w:rPr>
          <w:sz w:val="16"/>
          <w:lang w:val="es-MX"/>
        </w:rPr>
      </w:pPr>
      <w:r w:rsidRPr="008926E9">
        <w:rPr>
          <w:sz w:val="16"/>
          <w:lang w:val="es-MX"/>
        </w:rPr>
        <w:t xml:space="preserve">    </w:t>
      </w:r>
      <w:r w:rsidR="008926E9">
        <w:rPr>
          <w:sz w:val="16"/>
          <w:lang w:val="es-MX"/>
        </w:rPr>
        <w:tab/>
        <w:t xml:space="preserve">    </w:t>
      </w:r>
      <w:r w:rsidRPr="008926E9">
        <w:rPr>
          <w:sz w:val="16"/>
          <w:lang w:val="es-MX"/>
        </w:rPr>
        <w:t xml:space="preserve">Fuente: Dirección de Evaluación Fiscal </w:t>
      </w:r>
      <w:r w:rsidR="008926E9" w:rsidRPr="008926E9">
        <w:rPr>
          <w:sz w:val="16"/>
          <w:lang w:val="es-MX"/>
        </w:rPr>
        <w:t>Ministerio de Finanzas Públicas</w:t>
      </w:r>
      <w:r w:rsidR="008926E9">
        <w:rPr>
          <w:sz w:val="16"/>
          <w:lang w:val="es-MX"/>
        </w:rPr>
        <w:t>.</w:t>
      </w:r>
      <w:r w:rsidR="001E579E" w:rsidRPr="008926E9">
        <w:rPr>
          <w:sz w:val="16"/>
          <w:lang w:val="es-MX"/>
        </w:rPr>
        <w:br w:type="page"/>
      </w:r>
    </w:p>
    <w:p w:rsidR="001E579E" w:rsidRPr="00B60FA5" w:rsidRDefault="001E579E" w:rsidP="001E579E">
      <w:pPr>
        <w:jc w:val="both"/>
        <w:rPr>
          <w:b/>
          <w:szCs w:val="28"/>
          <w:lang w:val="es-MX"/>
        </w:rPr>
      </w:pPr>
      <w:r w:rsidRPr="00B60FA5">
        <w:rPr>
          <w:b/>
          <w:szCs w:val="28"/>
          <w:lang w:val="es-MX"/>
        </w:rPr>
        <w:lastRenderedPageBreak/>
        <w:t>Transparencia Fiscal</w:t>
      </w:r>
      <w:r>
        <w:rPr>
          <w:b/>
          <w:szCs w:val="28"/>
          <w:lang w:val="es-MX"/>
        </w:rPr>
        <w:t xml:space="preserve">: </w:t>
      </w:r>
      <w:r w:rsidRPr="00B60FA5">
        <w:rPr>
          <w:rFonts w:eastAsia="Calibri"/>
          <w:b/>
          <w:szCs w:val="22"/>
          <w:lang w:val="es-MX" w:eastAsia="en-US"/>
        </w:rPr>
        <w:t xml:space="preserve">Plan de </w:t>
      </w:r>
      <w:r>
        <w:rPr>
          <w:rFonts w:eastAsia="Calibri"/>
          <w:b/>
          <w:szCs w:val="22"/>
          <w:lang w:val="es-MX" w:eastAsia="en-US"/>
        </w:rPr>
        <w:t>A</w:t>
      </w:r>
      <w:r w:rsidRPr="00B60FA5">
        <w:rPr>
          <w:rFonts w:eastAsia="Calibri"/>
          <w:b/>
          <w:szCs w:val="22"/>
          <w:lang w:val="es-MX" w:eastAsia="en-US"/>
        </w:rPr>
        <w:t xml:space="preserve">cción </w:t>
      </w:r>
      <w:r>
        <w:rPr>
          <w:rFonts w:eastAsia="Calibri"/>
          <w:b/>
          <w:szCs w:val="22"/>
          <w:lang w:val="es-MX" w:eastAsia="en-US"/>
        </w:rPr>
        <w:t>N</w:t>
      </w:r>
      <w:r w:rsidRPr="00B60FA5">
        <w:rPr>
          <w:rFonts w:eastAsia="Calibri"/>
          <w:b/>
          <w:szCs w:val="22"/>
          <w:lang w:val="es-MX" w:eastAsia="en-US"/>
        </w:rPr>
        <w:t xml:space="preserve">acional </w:t>
      </w:r>
      <w:r>
        <w:rPr>
          <w:rFonts w:eastAsia="Calibri"/>
          <w:b/>
          <w:szCs w:val="22"/>
          <w:lang w:val="es-MX" w:eastAsia="en-US"/>
        </w:rPr>
        <w:t xml:space="preserve">de </w:t>
      </w:r>
      <w:r w:rsidRPr="00B60FA5">
        <w:rPr>
          <w:rFonts w:eastAsia="Calibri"/>
          <w:b/>
          <w:szCs w:val="22"/>
          <w:lang w:val="es-MX" w:eastAsia="en-US"/>
        </w:rPr>
        <w:t>Gobierno Abierto</w:t>
      </w:r>
      <w:r>
        <w:rPr>
          <w:rFonts w:eastAsia="Calibri"/>
          <w:b/>
          <w:szCs w:val="22"/>
          <w:lang w:val="es-MX" w:eastAsia="en-US"/>
        </w:rPr>
        <w:t>,</w:t>
      </w:r>
      <w:r w:rsidRPr="00B60FA5">
        <w:rPr>
          <w:rFonts w:eastAsia="Calibri"/>
          <w:b/>
          <w:szCs w:val="22"/>
          <w:lang w:val="es-MX" w:eastAsia="en-US"/>
        </w:rPr>
        <w:t xml:space="preserve"> 2016-2018</w:t>
      </w:r>
    </w:p>
    <w:p w:rsidR="001E579E" w:rsidRDefault="001E579E" w:rsidP="001E579E">
      <w:pPr>
        <w:pStyle w:val="Prrafodelista"/>
        <w:ind w:left="284"/>
        <w:jc w:val="both"/>
        <w:rPr>
          <w:b/>
          <w:sz w:val="28"/>
          <w:szCs w:val="28"/>
        </w:rPr>
      </w:pPr>
    </w:p>
    <w:p w:rsidR="001E579E" w:rsidRPr="00395D72" w:rsidRDefault="001E579E" w:rsidP="001E579E">
      <w:pPr>
        <w:spacing w:after="200"/>
        <w:jc w:val="both"/>
        <w:rPr>
          <w:rFonts w:eastAsia="Calibri"/>
          <w:lang w:val="es-MX" w:eastAsia="en-US"/>
        </w:rPr>
      </w:pPr>
      <w:r>
        <w:rPr>
          <w:rFonts w:eastAsia="Calibri"/>
          <w:lang w:val="es-MX" w:eastAsia="en-US"/>
        </w:rPr>
        <w:t>Desde</w:t>
      </w:r>
      <w:r w:rsidRPr="00395D72">
        <w:rPr>
          <w:rFonts w:eastAsia="Calibri"/>
          <w:lang w:val="es-MX" w:eastAsia="en-US"/>
        </w:rPr>
        <w:t xml:space="preserve"> mayo de 2016, el Ministerio de Finanzas Públicas trabaja y participa de manera colaborativa con otras entidades </w:t>
      </w:r>
      <w:r>
        <w:rPr>
          <w:rFonts w:eastAsia="Calibri"/>
          <w:lang w:val="es-MX" w:eastAsia="en-US"/>
        </w:rPr>
        <w:t>públicas</w:t>
      </w:r>
      <w:r w:rsidRPr="00395D72">
        <w:rPr>
          <w:rFonts w:eastAsia="Calibri"/>
          <w:lang w:val="es-MX" w:eastAsia="en-US"/>
        </w:rPr>
        <w:t xml:space="preserve"> y con organizaciones de la sociedad civil, en la identificación de compromisos estratégicos que propicien una mayor apertura del gobierno hacia los ciudadanos, y que forman parte del </w:t>
      </w:r>
      <w:r w:rsidRPr="00813A60">
        <w:rPr>
          <w:rFonts w:eastAsia="Calibri"/>
          <w:b/>
          <w:i/>
          <w:lang w:val="es-MX" w:eastAsia="en-US"/>
        </w:rPr>
        <w:t>Tercer</w:t>
      </w:r>
      <w:r w:rsidRPr="00395D72">
        <w:rPr>
          <w:rFonts w:eastAsia="Calibri"/>
          <w:lang w:val="es-MX" w:eastAsia="en-US"/>
        </w:rPr>
        <w:t xml:space="preserve"> </w:t>
      </w:r>
      <w:r w:rsidRPr="00395D72">
        <w:rPr>
          <w:rFonts w:eastAsia="Calibri"/>
          <w:b/>
          <w:i/>
          <w:lang w:val="es-MX" w:eastAsia="en-US"/>
        </w:rPr>
        <w:t>Plan de Acción Nacional de Gobierno Abierto 2016-2018</w:t>
      </w:r>
      <w:r w:rsidRPr="00395D72">
        <w:rPr>
          <w:rFonts w:eastAsia="Calibri"/>
          <w:lang w:val="es-MX" w:eastAsia="en-US"/>
        </w:rPr>
        <w:t xml:space="preserve">. </w:t>
      </w:r>
    </w:p>
    <w:p w:rsidR="001E579E" w:rsidRPr="00395D72" w:rsidRDefault="001E579E" w:rsidP="001E579E">
      <w:pPr>
        <w:spacing w:after="200"/>
        <w:jc w:val="both"/>
        <w:rPr>
          <w:rFonts w:eastAsia="Calibri"/>
          <w:lang w:val="es-MX" w:eastAsia="en-US"/>
        </w:rPr>
      </w:pPr>
      <w:r w:rsidRPr="00395D72">
        <w:rPr>
          <w:rFonts w:eastAsia="Calibri"/>
          <w:lang w:val="es-MX" w:eastAsia="en-US"/>
        </w:rPr>
        <w:t xml:space="preserve">En una primera etapa </w:t>
      </w:r>
      <w:r>
        <w:rPr>
          <w:rFonts w:eastAsia="Calibri"/>
          <w:lang w:val="es-MX" w:eastAsia="en-US"/>
        </w:rPr>
        <w:t>s</w:t>
      </w:r>
      <w:r w:rsidRPr="00395D72">
        <w:rPr>
          <w:rFonts w:eastAsia="Calibri"/>
          <w:lang w:val="es-MX" w:eastAsia="en-US"/>
        </w:rPr>
        <w:t xml:space="preserve">e dio a conocer a ciudadanos y servidores públicos, el concepto, </w:t>
      </w:r>
      <w:r>
        <w:rPr>
          <w:rFonts w:eastAsia="Calibri"/>
          <w:lang w:val="es-MX" w:eastAsia="en-US"/>
        </w:rPr>
        <w:t xml:space="preserve">los </w:t>
      </w:r>
      <w:r w:rsidRPr="00395D72">
        <w:rPr>
          <w:rFonts w:eastAsia="Calibri"/>
          <w:lang w:val="es-MX" w:eastAsia="en-US"/>
        </w:rPr>
        <w:t xml:space="preserve">objetivos y </w:t>
      </w:r>
      <w:r>
        <w:rPr>
          <w:rFonts w:eastAsia="Calibri"/>
          <w:lang w:val="es-MX" w:eastAsia="en-US"/>
        </w:rPr>
        <w:t xml:space="preserve">la </w:t>
      </w:r>
      <w:r w:rsidRPr="00395D72">
        <w:rPr>
          <w:rFonts w:eastAsia="Calibri"/>
          <w:lang w:val="es-MX" w:eastAsia="en-US"/>
        </w:rPr>
        <w:t xml:space="preserve">metodología para el diseño del tercer plan. En la segunda etapa se desarrollaron </w:t>
      </w:r>
      <w:r w:rsidRPr="00395D72">
        <w:rPr>
          <w:lang w:val="es-GT" w:eastAsia="es-GT"/>
        </w:rPr>
        <w:t xml:space="preserve">“Foros de Consulta Abierta de Opinión Ciudadana sobre los cinco ejes del Plan de Acción Nacional”, con el propósito de obtener insumos de la población e incorporar sus demandas. Dichos foros se llevaron a cabo en Guatemala, Quetzaltenango y Alta Verapaz. </w:t>
      </w:r>
      <w:r w:rsidRPr="00395D72">
        <w:rPr>
          <w:rFonts w:eastAsia="Calibri"/>
          <w:lang w:val="es-MX" w:eastAsia="en-US"/>
        </w:rPr>
        <w:t>El trabajo se  realizó a través de  mesas temáticas en torno a cinco ejes</w:t>
      </w:r>
      <w:r>
        <w:rPr>
          <w:rFonts w:eastAsia="Calibri"/>
          <w:lang w:val="es-MX" w:eastAsia="en-US"/>
        </w:rPr>
        <w:t xml:space="preserve"> transversales</w:t>
      </w:r>
      <w:r w:rsidRPr="00395D72">
        <w:rPr>
          <w:rFonts w:eastAsia="Calibri"/>
          <w:lang w:val="es-MX" w:eastAsia="en-US"/>
        </w:rPr>
        <w:t>:</w:t>
      </w:r>
    </w:p>
    <w:p w:rsidR="001E579E" w:rsidRPr="00395D72" w:rsidRDefault="001E579E" w:rsidP="001E579E">
      <w:pPr>
        <w:numPr>
          <w:ilvl w:val="0"/>
          <w:numId w:val="20"/>
        </w:numPr>
        <w:spacing w:after="200"/>
        <w:contextualSpacing/>
        <w:jc w:val="both"/>
        <w:rPr>
          <w:rFonts w:eastAsia="Calibri"/>
          <w:lang w:val="es-MX" w:eastAsia="en-US"/>
        </w:rPr>
      </w:pPr>
      <w:r w:rsidRPr="00395D72">
        <w:rPr>
          <w:rFonts w:eastAsia="Calibri"/>
          <w:lang w:val="es-MX" w:eastAsia="en-US"/>
        </w:rPr>
        <w:t xml:space="preserve">Acceso a la información pública y archivos institucionales, </w:t>
      </w:r>
    </w:p>
    <w:p w:rsidR="001E579E" w:rsidRPr="00395D72" w:rsidRDefault="001E579E" w:rsidP="001E579E">
      <w:pPr>
        <w:numPr>
          <w:ilvl w:val="0"/>
          <w:numId w:val="20"/>
        </w:numPr>
        <w:spacing w:after="200"/>
        <w:contextualSpacing/>
        <w:jc w:val="both"/>
        <w:rPr>
          <w:rFonts w:eastAsia="Calibri"/>
          <w:lang w:val="es-MX" w:eastAsia="en-US"/>
        </w:rPr>
      </w:pPr>
      <w:r w:rsidRPr="00395D72">
        <w:rPr>
          <w:rFonts w:eastAsia="Calibri"/>
          <w:lang w:val="es-MX" w:eastAsia="en-US"/>
        </w:rPr>
        <w:t xml:space="preserve">Participación ciudadana, </w:t>
      </w:r>
    </w:p>
    <w:p w:rsidR="001E579E" w:rsidRPr="00395D72" w:rsidRDefault="001E579E" w:rsidP="001E579E">
      <w:pPr>
        <w:numPr>
          <w:ilvl w:val="0"/>
          <w:numId w:val="20"/>
        </w:numPr>
        <w:spacing w:after="200"/>
        <w:contextualSpacing/>
        <w:jc w:val="both"/>
        <w:rPr>
          <w:rFonts w:eastAsia="Calibri"/>
          <w:lang w:val="es-MX" w:eastAsia="en-US"/>
        </w:rPr>
      </w:pPr>
      <w:r w:rsidRPr="00395D72">
        <w:rPr>
          <w:rFonts w:eastAsia="Calibri"/>
          <w:lang w:val="es-MX" w:eastAsia="en-US"/>
        </w:rPr>
        <w:t xml:space="preserve">Innovación tecnológica y datos abiertos, </w:t>
      </w:r>
    </w:p>
    <w:p w:rsidR="001E579E" w:rsidRPr="00395D72" w:rsidRDefault="001E579E" w:rsidP="001E579E">
      <w:pPr>
        <w:numPr>
          <w:ilvl w:val="0"/>
          <w:numId w:val="20"/>
        </w:numPr>
        <w:spacing w:after="200"/>
        <w:contextualSpacing/>
        <w:jc w:val="both"/>
        <w:rPr>
          <w:rFonts w:eastAsia="Calibri"/>
          <w:lang w:val="es-MX" w:eastAsia="en-US"/>
        </w:rPr>
      </w:pPr>
      <w:r w:rsidRPr="00395D72">
        <w:rPr>
          <w:rFonts w:eastAsia="Calibri"/>
          <w:lang w:val="es-MX" w:eastAsia="en-US"/>
        </w:rPr>
        <w:t xml:space="preserve">Rendición de cuentas, y </w:t>
      </w:r>
    </w:p>
    <w:p w:rsidR="001E579E" w:rsidRPr="00395D72" w:rsidRDefault="001E579E" w:rsidP="001E579E">
      <w:pPr>
        <w:numPr>
          <w:ilvl w:val="0"/>
          <w:numId w:val="20"/>
        </w:numPr>
        <w:spacing w:after="200"/>
        <w:contextualSpacing/>
        <w:jc w:val="both"/>
        <w:rPr>
          <w:rFonts w:eastAsia="Calibri"/>
          <w:lang w:val="es-MX" w:eastAsia="en-US"/>
        </w:rPr>
      </w:pPr>
      <w:r w:rsidRPr="00395D72">
        <w:rPr>
          <w:rFonts w:eastAsia="Calibri"/>
          <w:lang w:val="es-MX" w:eastAsia="en-US"/>
        </w:rPr>
        <w:t>Transparencia fiscal.</w:t>
      </w:r>
    </w:p>
    <w:p w:rsidR="001E579E" w:rsidRPr="00395D72" w:rsidRDefault="001E579E" w:rsidP="001E579E">
      <w:pPr>
        <w:spacing w:after="200"/>
        <w:jc w:val="both"/>
        <w:rPr>
          <w:rFonts w:eastAsia="Calibri"/>
          <w:lang w:val="es-MX" w:eastAsia="en-US"/>
        </w:rPr>
      </w:pPr>
    </w:p>
    <w:p w:rsidR="001E579E" w:rsidRPr="00395D72" w:rsidRDefault="001E579E" w:rsidP="001E579E">
      <w:pPr>
        <w:spacing w:after="200"/>
        <w:jc w:val="both"/>
        <w:rPr>
          <w:rFonts w:eastAsia="Calibri"/>
          <w:lang w:val="es-MX" w:eastAsia="en-US"/>
        </w:rPr>
      </w:pPr>
      <w:r w:rsidRPr="00395D72">
        <w:rPr>
          <w:rFonts w:eastAsia="Calibri"/>
          <w:lang w:val="es-MX" w:eastAsia="en-US"/>
        </w:rPr>
        <w:t>En la tercera etapa</w:t>
      </w:r>
      <w:r>
        <w:rPr>
          <w:rFonts w:eastAsia="Calibri"/>
          <w:lang w:val="es-MX" w:eastAsia="en-US"/>
        </w:rPr>
        <w:t>,</w:t>
      </w:r>
      <w:r w:rsidRPr="00395D72">
        <w:rPr>
          <w:rFonts w:eastAsia="Calibri"/>
          <w:lang w:val="es-MX" w:eastAsia="en-US"/>
        </w:rPr>
        <w:t xml:space="preserve"> </w:t>
      </w:r>
      <w:r>
        <w:rPr>
          <w:rFonts w:eastAsia="Calibri"/>
          <w:lang w:val="es-MX" w:eastAsia="en-US"/>
        </w:rPr>
        <w:t>las</w:t>
      </w:r>
      <w:r w:rsidRPr="00395D72">
        <w:rPr>
          <w:rFonts w:eastAsia="Calibri"/>
          <w:lang w:val="es-MX" w:eastAsia="en-US"/>
        </w:rPr>
        <w:t xml:space="preserve"> mesas temáticas</w:t>
      </w:r>
      <w:r>
        <w:rPr>
          <w:rFonts w:eastAsia="Calibri"/>
          <w:lang w:val="es-MX" w:eastAsia="en-US"/>
        </w:rPr>
        <w:t xml:space="preserve"> discutieron</w:t>
      </w:r>
      <w:r w:rsidRPr="00395D72">
        <w:rPr>
          <w:rFonts w:eastAsia="Calibri"/>
          <w:lang w:val="es-MX" w:eastAsia="en-US"/>
        </w:rPr>
        <w:t xml:space="preserve"> sobre la viabilidad de los compromisos planteados, </w:t>
      </w:r>
      <w:r>
        <w:rPr>
          <w:rFonts w:eastAsia="Calibri"/>
          <w:lang w:val="es-MX" w:eastAsia="en-US"/>
        </w:rPr>
        <w:t xml:space="preserve">el </w:t>
      </w:r>
      <w:r w:rsidRPr="00395D72">
        <w:rPr>
          <w:rFonts w:eastAsia="Calibri"/>
          <w:lang w:val="es-MX" w:eastAsia="en-US"/>
        </w:rPr>
        <w:t xml:space="preserve">establecimiento de objetivos, </w:t>
      </w:r>
      <w:r>
        <w:rPr>
          <w:rFonts w:eastAsia="Calibri"/>
          <w:lang w:val="es-MX" w:eastAsia="en-US"/>
        </w:rPr>
        <w:t xml:space="preserve">su </w:t>
      </w:r>
      <w:r w:rsidRPr="00395D72">
        <w:rPr>
          <w:rFonts w:eastAsia="Calibri"/>
          <w:lang w:val="es-MX" w:eastAsia="en-US"/>
        </w:rPr>
        <w:t>relevancia, ambición, metas, responsables y fechas de cumplimiento</w:t>
      </w:r>
      <w:r>
        <w:rPr>
          <w:rFonts w:eastAsia="Calibri"/>
          <w:lang w:val="es-MX" w:eastAsia="en-US"/>
        </w:rPr>
        <w:t>. Luego</w:t>
      </w:r>
      <w:r w:rsidRPr="00395D72">
        <w:rPr>
          <w:rFonts w:eastAsia="Calibri"/>
          <w:lang w:val="es-MX" w:eastAsia="en-US"/>
        </w:rPr>
        <w:t>, se llegó a</w:t>
      </w:r>
      <w:r>
        <w:rPr>
          <w:rFonts w:eastAsia="Calibri"/>
          <w:lang w:val="es-MX" w:eastAsia="en-US"/>
        </w:rPr>
        <w:t>l</w:t>
      </w:r>
      <w:r w:rsidRPr="00395D72">
        <w:rPr>
          <w:rFonts w:eastAsia="Calibri"/>
          <w:lang w:val="es-MX" w:eastAsia="en-US"/>
        </w:rPr>
        <w:t xml:space="preserve"> consenso sobre </w:t>
      </w:r>
      <w:r>
        <w:rPr>
          <w:rFonts w:eastAsia="Calibri"/>
          <w:lang w:val="es-MX" w:eastAsia="en-US"/>
        </w:rPr>
        <w:t xml:space="preserve">los </w:t>
      </w:r>
      <w:r w:rsidRPr="00395D72">
        <w:rPr>
          <w:rFonts w:eastAsia="Calibri"/>
          <w:lang w:val="es-MX" w:eastAsia="en-US"/>
        </w:rPr>
        <w:t>compromisos que integra</w:t>
      </w:r>
      <w:r>
        <w:rPr>
          <w:rFonts w:eastAsia="Calibri"/>
          <w:lang w:val="es-MX" w:eastAsia="en-US"/>
        </w:rPr>
        <w:t>ría</w:t>
      </w:r>
      <w:r w:rsidRPr="00395D72">
        <w:rPr>
          <w:rFonts w:eastAsia="Calibri"/>
          <w:lang w:val="es-MX" w:eastAsia="en-US"/>
        </w:rPr>
        <w:t xml:space="preserve">n el Plan de Acción Nacional </w:t>
      </w:r>
      <w:r>
        <w:rPr>
          <w:rFonts w:eastAsia="Calibri"/>
          <w:lang w:val="es-MX" w:eastAsia="en-US"/>
        </w:rPr>
        <w:t>para ser</w:t>
      </w:r>
      <w:r w:rsidRPr="00395D72">
        <w:rPr>
          <w:rFonts w:eastAsia="Calibri"/>
          <w:lang w:val="es-MX" w:eastAsia="en-US"/>
        </w:rPr>
        <w:t xml:space="preserve"> implementado del 15 de agosto </w:t>
      </w:r>
      <w:r>
        <w:rPr>
          <w:rFonts w:eastAsia="Calibri"/>
          <w:lang w:val="es-MX" w:eastAsia="en-US"/>
        </w:rPr>
        <w:t xml:space="preserve">de </w:t>
      </w:r>
      <w:r w:rsidRPr="00395D72">
        <w:rPr>
          <w:rFonts w:eastAsia="Calibri"/>
          <w:lang w:val="es-MX" w:eastAsia="en-US"/>
        </w:rPr>
        <w:t xml:space="preserve">2016 al 30 de junio </w:t>
      </w:r>
      <w:r>
        <w:rPr>
          <w:rFonts w:eastAsia="Calibri"/>
          <w:lang w:val="es-MX" w:eastAsia="en-US"/>
        </w:rPr>
        <w:t xml:space="preserve">de </w:t>
      </w:r>
      <w:r w:rsidRPr="00395D72">
        <w:rPr>
          <w:rFonts w:eastAsia="Calibri"/>
          <w:lang w:val="es-MX" w:eastAsia="en-US"/>
        </w:rPr>
        <w:t>2018.  Finalmente, la Mesa Técnica de Gobierno Abierto conoció y aprobó cada uno de los compromisos</w:t>
      </w:r>
      <w:r>
        <w:rPr>
          <w:rFonts w:eastAsia="Calibri"/>
          <w:lang w:val="es-MX" w:eastAsia="en-US"/>
        </w:rPr>
        <w:t>, cuyo documento del Plan de Acción Nacional se sometió a consideración y aprobación por parte de la Alianza para el Gobierno Abierto (OGP, por sus siglas en inglés).</w:t>
      </w:r>
    </w:p>
    <w:p w:rsidR="001E579E" w:rsidRPr="00395D72" w:rsidRDefault="001E579E" w:rsidP="001E579E">
      <w:pPr>
        <w:spacing w:after="200"/>
        <w:jc w:val="both"/>
        <w:rPr>
          <w:rFonts w:eastAsia="Calibri"/>
          <w:lang w:val="es-MX" w:eastAsia="en-US"/>
        </w:rPr>
      </w:pPr>
      <w:r>
        <w:rPr>
          <w:rFonts w:eastAsia="Calibri"/>
          <w:lang w:val="es-MX" w:eastAsia="en-US"/>
        </w:rPr>
        <w:t>E</w:t>
      </w:r>
      <w:r w:rsidRPr="00395D72">
        <w:rPr>
          <w:rFonts w:eastAsia="Calibri"/>
          <w:lang w:val="es-MX" w:eastAsia="en-US"/>
        </w:rPr>
        <w:t xml:space="preserve">n materia de </w:t>
      </w:r>
      <w:r w:rsidRPr="00395D72">
        <w:rPr>
          <w:rFonts w:eastAsia="Calibri"/>
          <w:i/>
          <w:lang w:val="es-MX" w:eastAsia="en-US"/>
        </w:rPr>
        <w:t>transparencia fiscal</w:t>
      </w:r>
      <w:r>
        <w:rPr>
          <w:rFonts w:eastAsia="Calibri"/>
          <w:i/>
          <w:lang w:val="es-MX" w:eastAsia="en-US"/>
        </w:rPr>
        <w:t>,</w:t>
      </w:r>
      <w:r w:rsidRPr="00395D72">
        <w:rPr>
          <w:rFonts w:eastAsia="Calibri"/>
          <w:lang w:val="es-MX" w:eastAsia="en-US"/>
        </w:rPr>
        <w:t xml:space="preserve"> </w:t>
      </w:r>
      <w:r>
        <w:rPr>
          <w:rFonts w:eastAsia="Calibri"/>
          <w:lang w:val="es-MX" w:eastAsia="en-US"/>
        </w:rPr>
        <w:t>a</w:t>
      </w:r>
      <w:r w:rsidRPr="00395D72">
        <w:rPr>
          <w:rFonts w:eastAsia="Calibri"/>
          <w:lang w:val="es-MX" w:eastAsia="en-US"/>
        </w:rPr>
        <w:t xml:space="preserve">l Ministerio de Finanzas Públicas (MINFIN) </w:t>
      </w:r>
      <w:r>
        <w:rPr>
          <w:rFonts w:eastAsia="Calibri"/>
          <w:lang w:val="es-MX" w:eastAsia="en-US"/>
        </w:rPr>
        <w:t xml:space="preserve">le </w:t>
      </w:r>
      <w:r w:rsidRPr="00395D72">
        <w:rPr>
          <w:rFonts w:eastAsia="Calibri"/>
          <w:lang w:val="es-MX" w:eastAsia="en-US"/>
        </w:rPr>
        <w:t>corresponde la responsabilidad en forma directa</w:t>
      </w:r>
      <w:r>
        <w:rPr>
          <w:rFonts w:eastAsia="Calibri"/>
          <w:lang w:val="es-MX" w:eastAsia="en-US"/>
        </w:rPr>
        <w:t xml:space="preserve"> en cuatro</w:t>
      </w:r>
      <w:r w:rsidRPr="00395D72">
        <w:rPr>
          <w:rFonts w:eastAsia="Calibri"/>
          <w:lang w:val="es-MX" w:eastAsia="en-US"/>
        </w:rPr>
        <w:t xml:space="preserve"> de los siete compromisos. </w:t>
      </w:r>
      <w:r>
        <w:rPr>
          <w:rFonts w:eastAsia="Calibri"/>
          <w:lang w:val="es-MX" w:eastAsia="en-US"/>
        </w:rPr>
        <w:t xml:space="preserve">Indirectamente se apoyará un compromiso sobre rendición de cuentas de los gobiernos locales. </w:t>
      </w:r>
      <w:r w:rsidRPr="00395D72">
        <w:rPr>
          <w:rFonts w:eastAsia="Calibri"/>
          <w:lang w:val="es-MX" w:eastAsia="en-US"/>
        </w:rPr>
        <w:t xml:space="preserve">En el proceso de conformación del </w:t>
      </w:r>
      <w:r>
        <w:rPr>
          <w:rFonts w:eastAsia="Calibri"/>
          <w:lang w:val="es-MX" w:eastAsia="en-US"/>
        </w:rPr>
        <w:t xml:space="preserve">mencionado </w:t>
      </w:r>
      <w:r w:rsidRPr="00395D72">
        <w:rPr>
          <w:rFonts w:eastAsia="Calibri"/>
          <w:lang w:val="es-MX" w:eastAsia="en-US"/>
        </w:rPr>
        <w:t>Plan, la Dirección de Evaluación Fiscal (DEF) participó como equipo de delegados del MINFIN ante la mesa técnica de Gobierno Abierto (GA) y coordinó dentro del mismo Ministerio con las demás direcciones, según su área de competencia, la viabilidad técnica, legal, y financiera de las propuestas. A continuación se presenta un resumen de los compromisos más relevantes y sus respectivas metas:</w:t>
      </w:r>
    </w:p>
    <w:p w:rsidR="001E579E" w:rsidRPr="009E7A0A" w:rsidRDefault="001E579E" w:rsidP="001E579E">
      <w:pPr>
        <w:rPr>
          <w:rFonts w:eastAsia="Calibri"/>
          <w:b/>
          <w:lang w:val="es-MX" w:eastAsia="en-US"/>
        </w:rPr>
      </w:pPr>
      <w:r w:rsidRPr="009E7A0A">
        <w:rPr>
          <w:rFonts w:eastAsia="Calibri"/>
          <w:b/>
          <w:lang w:val="es-MX" w:eastAsia="en-US"/>
        </w:rPr>
        <w:t>Compromisos y Metas para el Ministerio de Finanzas Públicas</w:t>
      </w:r>
    </w:p>
    <w:p w:rsidR="001E579E" w:rsidRPr="009E7A0A" w:rsidRDefault="001E579E" w:rsidP="001E579E">
      <w:pPr>
        <w:rPr>
          <w:rFonts w:eastAsia="Calibri"/>
          <w:b/>
          <w:i/>
          <w:lang w:val="es-MX" w:eastAsia="en-US"/>
        </w:rPr>
      </w:pPr>
    </w:p>
    <w:p w:rsidR="001E579E" w:rsidRPr="009E7A0A" w:rsidRDefault="001E579E" w:rsidP="001E579E">
      <w:pPr>
        <w:rPr>
          <w:rFonts w:eastAsia="Calibri"/>
          <w:b/>
          <w:i/>
          <w:lang w:val="es-MX" w:eastAsia="en-US"/>
        </w:rPr>
      </w:pPr>
      <w:r w:rsidRPr="009E7A0A">
        <w:rPr>
          <w:rFonts w:eastAsia="Calibri"/>
          <w:b/>
          <w:i/>
          <w:lang w:val="es-MX" w:eastAsia="en-US"/>
        </w:rPr>
        <w:t>Transparencia Fiscal</w:t>
      </w:r>
    </w:p>
    <w:p w:rsidR="001E579E" w:rsidRPr="009E7A0A" w:rsidRDefault="001E579E" w:rsidP="001E579E">
      <w:pPr>
        <w:rPr>
          <w:rFonts w:eastAsia="Calibri"/>
          <w:b/>
          <w:i/>
          <w:lang w:val="es-MX" w:eastAsia="en-US"/>
        </w:rPr>
      </w:pPr>
    </w:p>
    <w:p w:rsidR="001E579E" w:rsidRPr="009E7A0A" w:rsidRDefault="001E579E" w:rsidP="001E579E">
      <w:pPr>
        <w:numPr>
          <w:ilvl w:val="0"/>
          <w:numId w:val="7"/>
        </w:numPr>
        <w:contextualSpacing/>
        <w:jc w:val="both"/>
        <w:rPr>
          <w:rFonts w:eastAsia="Calibri"/>
          <w:lang w:val="es-MX" w:eastAsia="en-US"/>
        </w:rPr>
      </w:pPr>
      <w:r w:rsidRPr="009E7A0A">
        <w:rPr>
          <w:rFonts w:eastAsia="Calibri"/>
          <w:lang w:val="es-MX" w:eastAsia="en-US"/>
        </w:rPr>
        <w:t>Acciones para avanzar hacia un Presupuesto Abierto y Participativo</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Foros de presupuesto abierto se institucionalizan</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Normas presupuestarias</w:t>
      </w:r>
      <w:r>
        <w:rPr>
          <w:rFonts w:eastAsia="Calibri"/>
          <w:lang w:val="es-MX" w:eastAsia="en-US"/>
        </w:rPr>
        <w:t>,</w:t>
      </w:r>
      <w:r w:rsidRPr="009E7A0A">
        <w:rPr>
          <w:rFonts w:eastAsia="Calibri"/>
          <w:lang w:val="es-MX" w:eastAsia="en-US"/>
        </w:rPr>
        <w:t xml:space="preserve"> incluyen principios de t</w:t>
      </w:r>
      <w:r>
        <w:rPr>
          <w:rFonts w:eastAsia="Calibri"/>
          <w:lang w:val="es-MX" w:eastAsia="en-US"/>
        </w:rPr>
        <w:t>ransparencia y Gobierno Abierto</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lastRenderedPageBreak/>
        <w:t>CONADUR socializa propuesta de inversión para siguiente presupuesto</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Mesas técnicas con participación de sociedad civil para discutir proyecto de presupuesto</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C</w:t>
      </w:r>
      <w:r>
        <w:rPr>
          <w:rFonts w:eastAsia="Calibri"/>
          <w:lang w:val="es-MX" w:eastAsia="en-US"/>
        </w:rPr>
        <w:t xml:space="preserve">ontraloría General de Cuentas </w:t>
      </w:r>
      <w:r w:rsidRPr="009E7A0A">
        <w:rPr>
          <w:rFonts w:eastAsia="Calibri"/>
          <w:lang w:val="es-MX" w:eastAsia="en-US"/>
        </w:rPr>
        <w:t>publica informe de auditoría a la liquidación del presupuesto bajo principios de gobierno abierto</w:t>
      </w:r>
    </w:p>
    <w:p w:rsidR="001E579E" w:rsidRPr="009E7A0A" w:rsidRDefault="001E579E" w:rsidP="001E579E">
      <w:pPr>
        <w:ind w:left="1440"/>
        <w:contextualSpacing/>
        <w:jc w:val="both"/>
        <w:rPr>
          <w:rFonts w:eastAsia="Calibri"/>
          <w:lang w:val="es-MX" w:eastAsia="en-US"/>
        </w:rPr>
      </w:pPr>
    </w:p>
    <w:p w:rsidR="001E579E" w:rsidRPr="009E7A0A" w:rsidRDefault="001E579E" w:rsidP="001E579E">
      <w:pPr>
        <w:numPr>
          <w:ilvl w:val="0"/>
          <w:numId w:val="7"/>
        </w:numPr>
        <w:contextualSpacing/>
        <w:jc w:val="both"/>
        <w:rPr>
          <w:rFonts w:eastAsia="Calibri"/>
          <w:lang w:val="es-MX" w:eastAsia="en-US"/>
        </w:rPr>
      </w:pPr>
      <w:r w:rsidRPr="009E7A0A">
        <w:rPr>
          <w:rFonts w:eastAsia="Calibri"/>
          <w:lang w:val="es-MX" w:eastAsia="en-US"/>
        </w:rPr>
        <w:t>Acciones para avanzar en el cumplimiento del Código y Manual de Transparencia Fiscal del F</w:t>
      </w:r>
      <w:r>
        <w:rPr>
          <w:rFonts w:eastAsia="Calibri"/>
          <w:lang w:val="es-MX" w:eastAsia="en-US"/>
        </w:rPr>
        <w:t>ondo Monetario Internacional</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Divulgar resultados de Evaluación de Transparencia de</w:t>
      </w:r>
      <w:r>
        <w:rPr>
          <w:rFonts w:eastAsia="Calibri"/>
          <w:lang w:val="es-MX" w:eastAsia="en-US"/>
        </w:rPr>
        <w:t>l</w:t>
      </w:r>
      <w:r w:rsidRPr="009E7A0A">
        <w:rPr>
          <w:rFonts w:eastAsia="Calibri"/>
          <w:lang w:val="es-MX" w:eastAsia="en-US"/>
        </w:rPr>
        <w:t xml:space="preserve"> FMI</w:t>
      </w:r>
      <w:r>
        <w:rPr>
          <w:rFonts w:eastAsia="Calibri"/>
          <w:lang w:val="es-MX" w:eastAsia="en-US"/>
        </w:rPr>
        <w:t>,</w:t>
      </w:r>
      <w:r w:rsidRPr="009E7A0A">
        <w:rPr>
          <w:rFonts w:eastAsia="Calibri"/>
          <w:lang w:val="es-MX" w:eastAsia="en-US"/>
        </w:rPr>
        <w:t xml:space="preserve"> recién realizada</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Hacer plan de trabajo para avanzar en la implementación del Código y Manual</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Incluir apartado de riesgos fiscales en proyecto del presupuesto</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Promover el uso de guías elaboradas por MINFIN sobre la Ley Orgánica del Presupuesto,  artículos 4, 17</w:t>
      </w:r>
      <w:r>
        <w:rPr>
          <w:rFonts w:eastAsia="Calibri"/>
          <w:lang w:val="es-MX" w:eastAsia="en-US"/>
        </w:rPr>
        <w:t xml:space="preserve"> B</w:t>
      </w:r>
      <w:r w:rsidRPr="009E7A0A">
        <w:rPr>
          <w:rFonts w:eastAsia="Calibri"/>
          <w:lang w:val="es-MX" w:eastAsia="en-US"/>
        </w:rPr>
        <w:t>is y 17</w:t>
      </w:r>
      <w:r>
        <w:rPr>
          <w:rFonts w:eastAsia="Calibri"/>
          <w:lang w:val="es-MX" w:eastAsia="en-US"/>
        </w:rPr>
        <w:t xml:space="preserve"> T</w:t>
      </w:r>
      <w:r w:rsidRPr="009E7A0A">
        <w:rPr>
          <w:rFonts w:eastAsia="Calibri"/>
          <w:lang w:val="es-MX" w:eastAsia="en-US"/>
        </w:rPr>
        <w:t>er</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Diagnóstico sobre obstáculos para consolidación de cuentas del sector público no financiero</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Consolidación de transferencias corrientes y de capital del sector público no financiero</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Consolidación de transferencias interinstitucionales que se trasladan por mandato legal del sector público no financiero</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Institucionalización de la agenda de transparencia fiscal del MINFIN (equipo técnico para discutir propuesta, reforma al Reglamento Orgánico Interno y su implementación)</w:t>
      </w:r>
    </w:p>
    <w:p w:rsidR="001E579E" w:rsidRPr="009E7A0A" w:rsidRDefault="001E579E" w:rsidP="001E579E">
      <w:pPr>
        <w:ind w:left="1440"/>
        <w:contextualSpacing/>
        <w:jc w:val="both"/>
        <w:rPr>
          <w:rFonts w:eastAsia="Calibri"/>
          <w:lang w:val="es-MX" w:eastAsia="en-US"/>
        </w:rPr>
      </w:pPr>
    </w:p>
    <w:p w:rsidR="001E579E" w:rsidRPr="009E7A0A" w:rsidRDefault="001E579E" w:rsidP="001E579E">
      <w:pPr>
        <w:numPr>
          <w:ilvl w:val="0"/>
          <w:numId w:val="7"/>
        </w:numPr>
        <w:contextualSpacing/>
        <w:jc w:val="both"/>
        <w:rPr>
          <w:rFonts w:eastAsia="Calibri"/>
          <w:lang w:val="es-MX" w:eastAsia="en-US"/>
        </w:rPr>
      </w:pPr>
      <w:r w:rsidRPr="009E7A0A">
        <w:rPr>
          <w:rFonts w:eastAsia="Calibri"/>
          <w:lang w:val="es-MX" w:eastAsia="en-US"/>
        </w:rPr>
        <w:t>Acciones para mejorar disponibilidad y calidad de la información presupuestaria</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Creación de comité de usuarios de datos abiertos del MINFIN</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Mejoras al portal de transparencia fiscal del MINFIN</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Interacción con sociedad civil para retroalimentar planes de mejoras al SIAF, SICOIN, SIGES, GUATECOMPRAS, GUATENOMINAS y otras plataformas</w:t>
      </w:r>
      <w:r>
        <w:rPr>
          <w:rFonts w:eastAsia="Calibri"/>
          <w:lang w:val="es-MX" w:eastAsia="en-US"/>
        </w:rPr>
        <w:t xml:space="preserve"> tecnológicas</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Mejoras a publicación de documentos del presupuesto según buenas prácticas internacionales (incluy</w:t>
      </w:r>
      <w:r>
        <w:rPr>
          <w:rFonts w:eastAsia="Calibri"/>
          <w:lang w:val="es-MX" w:eastAsia="en-US"/>
        </w:rPr>
        <w:t>e</w:t>
      </w:r>
      <w:r w:rsidRPr="009E7A0A">
        <w:rPr>
          <w:rFonts w:eastAsia="Calibri"/>
          <w:lang w:val="es-MX" w:eastAsia="en-US"/>
        </w:rPr>
        <w:t xml:space="preserve">ndo </w:t>
      </w:r>
      <w:r>
        <w:rPr>
          <w:rFonts w:eastAsia="Calibri"/>
          <w:lang w:val="es-MX" w:eastAsia="en-US"/>
        </w:rPr>
        <w:t>definición</w:t>
      </w:r>
      <w:r w:rsidRPr="009E7A0A">
        <w:rPr>
          <w:rFonts w:eastAsia="Calibri"/>
          <w:lang w:val="es-MX" w:eastAsia="en-US"/>
        </w:rPr>
        <w:t xml:space="preserve"> de fechas y responsables de su publicación)</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Publicación y difusión de informes para monitorear la ejecución de préstamos y donaciones</w:t>
      </w:r>
    </w:p>
    <w:p w:rsidR="001E579E" w:rsidRPr="009E7A0A" w:rsidRDefault="001E579E" w:rsidP="001E579E">
      <w:pPr>
        <w:ind w:left="1440"/>
        <w:contextualSpacing/>
        <w:jc w:val="both"/>
        <w:rPr>
          <w:rFonts w:eastAsia="Calibri"/>
          <w:lang w:val="es-MX" w:eastAsia="en-US"/>
        </w:rPr>
      </w:pPr>
    </w:p>
    <w:p w:rsidR="001E579E" w:rsidRPr="009E7A0A" w:rsidRDefault="001E579E" w:rsidP="001E579E">
      <w:pPr>
        <w:numPr>
          <w:ilvl w:val="0"/>
          <w:numId w:val="7"/>
        </w:numPr>
        <w:contextualSpacing/>
        <w:jc w:val="both"/>
        <w:rPr>
          <w:rFonts w:eastAsia="Calibri"/>
          <w:lang w:val="es-MX" w:eastAsia="en-US"/>
        </w:rPr>
      </w:pPr>
      <w:r w:rsidRPr="009E7A0A">
        <w:rPr>
          <w:rFonts w:eastAsia="Calibri"/>
          <w:lang w:val="es-MX" w:eastAsia="en-US"/>
        </w:rPr>
        <w:t xml:space="preserve">Acciones para avanzar hacia </w:t>
      </w:r>
      <w:r>
        <w:rPr>
          <w:rFonts w:eastAsia="Calibri"/>
          <w:lang w:val="es-MX" w:eastAsia="en-US"/>
        </w:rPr>
        <w:t xml:space="preserve">un </w:t>
      </w:r>
      <w:r w:rsidRPr="009E7A0A">
        <w:rPr>
          <w:rFonts w:eastAsia="Calibri"/>
          <w:lang w:val="es-MX" w:eastAsia="en-US"/>
        </w:rPr>
        <w:t>régimen de contrataciones abiertas</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Actualización de GUATECOMPRAS según Ley de Contrataciones</w:t>
      </w:r>
      <w:r>
        <w:rPr>
          <w:rFonts w:eastAsia="Calibri"/>
          <w:lang w:val="es-MX" w:eastAsia="en-US"/>
        </w:rPr>
        <w:t xml:space="preserve"> del Estado</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Estandarización de formatos para adquisiciones</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Implementación de subasta electrónica inversa</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Implementación de plataforma electrónica del Registro General de Adquisiciones</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 xml:space="preserve">Capacitación de funcionarios y sociedad civil sobre </w:t>
      </w:r>
      <w:r>
        <w:rPr>
          <w:rFonts w:eastAsia="Calibri"/>
          <w:lang w:val="es-MX" w:eastAsia="en-US"/>
        </w:rPr>
        <w:t xml:space="preserve">el </w:t>
      </w:r>
      <w:r w:rsidRPr="009E7A0A">
        <w:rPr>
          <w:rFonts w:eastAsia="Calibri"/>
          <w:lang w:val="es-MX" w:eastAsia="en-US"/>
        </w:rPr>
        <w:t>Registro General de Adquisiciones</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Evaluar posibilidad de adoptar contrataciones abiertas (</w:t>
      </w:r>
      <w:r w:rsidRPr="009E7A0A">
        <w:rPr>
          <w:rFonts w:eastAsia="Calibri"/>
          <w:i/>
          <w:lang w:eastAsia="en-US"/>
        </w:rPr>
        <w:t>open contracting</w:t>
      </w:r>
      <w:r w:rsidRPr="009E7A0A">
        <w:rPr>
          <w:rFonts w:eastAsia="Calibri"/>
          <w:lang w:val="es-MX" w:eastAsia="en-US"/>
        </w:rPr>
        <w:t>)</w:t>
      </w:r>
    </w:p>
    <w:p w:rsidR="001E579E" w:rsidRPr="009E7A0A" w:rsidRDefault="001E579E" w:rsidP="001E579E">
      <w:pPr>
        <w:ind w:left="1440"/>
        <w:contextualSpacing/>
        <w:jc w:val="both"/>
        <w:rPr>
          <w:rFonts w:eastAsia="Calibri"/>
          <w:lang w:val="es-MX" w:eastAsia="en-US"/>
        </w:rPr>
      </w:pPr>
    </w:p>
    <w:p w:rsidR="001E579E" w:rsidRPr="009E7A0A" w:rsidRDefault="001E579E" w:rsidP="001E579E">
      <w:pPr>
        <w:numPr>
          <w:ilvl w:val="0"/>
          <w:numId w:val="7"/>
        </w:numPr>
        <w:contextualSpacing/>
        <w:jc w:val="both"/>
        <w:rPr>
          <w:rFonts w:eastAsia="Calibri"/>
          <w:lang w:val="es-MX" w:eastAsia="en-US"/>
        </w:rPr>
      </w:pPr>
      <w:r w:rsidRPr="009E7A0A">
        <w:rPr>
          <w:rFonts w:eastAsia="Calibri"/>
          <w:lang w:val="es-MX" w:eastAsia="en-US"/>
        </w:rPr>
        <w:t>Acciones para avanzar en transparencia tributaria</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lastRenderedPageBreak/>
        <w:t>Suscripción de convenio para intercambio de información fiscal entre el MINFIN y la SAT</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Otras metas que corresponden a la SAT</w:t>
      </w:r>
    </w:p>
    <w:p w:rsidR="001E579E" w:rsidRPr="009E7A0A" w:rsidRDefault="001E579E" w:rsidP="001E579E">
      <w:pPr>
        <w:ind w:left="1440"/>
        <w:contextualSpacing/>
        <w:jc w:val="both"/>
        <w:rPr>
          <w:rFonts w:eastAsia="Calibri"/>
          <w:lang w:val="es-MX" w:eastAsia="en-US"/>
        </w:rPr>
      </w:pPr>
    </w:p>
    <w:p w:rsidR="001E579E" w:rsidRPr="009E7A0A" w:rsidRDefault="001E579E" w:rsidP="001E579E">
      <w:pPr>
        <w:numPr>
          <w:ilvl w:val="0"/>
          <w:numId w:val="7"/>
        </w:numPr>
        <w:contextualSpacing/>
        <w:jc w:val="both"/>
        <w:rPr>
          <w:rFonts w:eastAsia="Calibri"/>
          <w:lang w:val="es-MX" w:eastAsia="en-US"/>
        </w:rPr>
      </w:pPr>
      <w:r w:rsidRPr="009E7A0A">
        <w:rPr>
          <w:rFonts w:eastAsia="Calibri"/>
          <w:lang w:val="es-MX" w:eastAsia="en-US"/>
        </w:rPr>
        <w:t>Avances en implementación del modelo de primer nivel de atención en salud</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Metas corresponden al MSPAS</w:t>
      </w:r>
    </w:p>
    <w:p w:rsidR="001E579E" w:rsidRPr="009E7A0A" w:rsidRDefault="001E579E" w:rsidP="001E579E">
      <w:pPr>
        <w:ind w:left="1440"/>
        <w:contextualSpacing/>
        <w:jc w:val="both"/>
        <w:rPr>
          <w:rFonts w:eastAsia="Calibri"/>
          <w:lang w:val="es-MX" w:eastAsia="en-US"/>
        </w:rPr>
      </w:pPr>
    </w:p>
    <w:p w:rsidR="001E579E" w:rsidRPr="009E7A0A" w:rsidRDefault="001E579E" w:rsidP="001E579E">
      <w:pPr>
        <w:numPr>
          <w:ilvl w:val="0"/>
          <w:numId w:val="7"/>
        </w:numPr>
        <w:contextualSpacing/>
        <w:jc w:val="both"/>
        <w:rPr>
          <w:rFonts w:eastAsia="Calibri"/>
          <w:lang w:val="es-MX" w:eastAsia="en-US"/>
        </w:rPr>
      </w:pPr>
      <w:r w:rsidRPr="009E7A0A">
        <w:rPr>
          <w:rFonts w:eastAsia="Calibri"/>
          <w:lang w:val="es-MX" w:eastAsia="en-US"/>
        </w:rPr>
        <w:t>Acciones que contribuyen a mejorar la calidad del proceso educativo</w:t>
      </w:r>
    </w:p>
    <w:p w:rsidR="001E579E" w:rsidRPr="009E7A0A" w:rsidRDefault="001E579E" w:rsidP="001E579E">
      <w:pPr>
        <w:numPr>
          <w:ilvl w:val="1"/>
          <w:numId w:val="7"/>
        </w:numPr>
        <w:contextualSpacing/>
        <w:jc w:val="both"/>
        <w:rPr>
          <w:rFonts w:eastAsia="Calibri"/>
          <w:lang w:val="es-MX" w:eastAsia="en-US"/>
        </w:rPr>
      </w:pPr>
      <w:r w:rsidRPr="009E7A0A">
        <w:rPr>
          <w:rFonts w:eastAsia="Calibri"/>
          <w:lang w:val="es-MX" w:eastAsia="en-US"/>
        </w:rPr>
        <w:t>Metas corresponden al MINEDUC</w:t>
      </w:r>
    </w:p>
    <w:p w:rsidR="001E579E" w:rsidRPr="009E7A0A" w:rsidRDefault="001E579E" w:rsidP="001E579E">
      <w:pPr>
        <w:jc w:val="both"/>
        <w:rPr>
          <w:rFonts w:eastAsia="Calibri"/>
          <w:b/>
          <w:i/>
          <w:lang w:val="es-MX" w:eastAsia="en-US"/>
        </w:rPr>
      </w:pPr>
    </w:p>
    <w:p w:rsidR="001E579E" w:rsidRDefault="001E579E" w:rsidP="001E579E">
      <w:pPr>
        <w:jc w:val="both"/>
        <w:rPr>
          <w:rFonts w:eastAsia="Calibri"/>
          <w:b/>
          <w:i/>
          <w:lang w:val="es-MX" w:eastAsia="en-US"/>
        </w:rPr>
      </w:pPr>
      <w:r w:rsidRPr="009E7A0A">
        <w:rPr>
          <w:rFonts w:eastAsia="Calibri"/>
          <w:b/>
          <w:i/>
          <w:lang w:val="es-MX" w:eastAsia="en-US"/>
        </w:rPr>
        <w:t>Rendición de Cuentas</w:t>
      </w:r>
    </w:p>
    <w:p w:rsidR="001E579E" w:rsidRPr="009E7A0A" w:rsidRDefault="001E579E" w:rsidP="001E579E">
      <w:pPr>
        <w:jc w:val="both"/>
        <w:rPr>
          <w:rFonts w:eastAsia="Calibri"/>
          <w:b/>
          <w:i/>
          <w:lang w:val="es-MX" w:eastAsia="en-US"/>
        </w:rPr>
      </w:pPr>
    </w:p>
    <w:p w:rsidR="001E579E" w:rsidRPr="009E7A0A" w:rsidRDefault="001E579E" w:rsidP="001E579E">
      <w:pPr>
        <w:numPr>
          <w:ilvl w:val="0"/>
          <w:numId w:val="8"/>
        </w:numPr>
        <w:ind w:left="709" w:hanging="709"/>
        <w:contextualSpacing/>
        <w:jc w:val="both"/>
        <w:rPr>
          <w:rFonts w:eastAsia="Calibri"/>
          <w:lang w:val="es-MX" w:eastAsia="en-US"/>
        </w:rPr>
      </w:pPr>
      <w:r w:rsidRPr="009E7A0A">
        <w:rPr>
          <w:rFonts w:eastAsia="Calibri"/>
          <w:lang w:val="es-MX" w:eastAsia="en-US"/>
        </w:rPr>
        <w:t>Mecanismos de rendición de cuentas en los gobiernos locales</w:t>
      </w:r>
    </w:p>
    <w:p w:rsidR="001E579E" w:rsidRPr="009E7A0A" w:rsidRDefault="001E579E" w:rsidP="001E579E">
      <w:pPr>
        <w:numPr>
          <w:ilvl w:val="1"/>
          <w:numId w:val="8"/>
        </w:numPr>
        <w:contextualSpacing/>
        <w:jc w:val="both"/>
        <w:rPr>
          <w:rFonts w:eastAsia="Calibri"/>
          <w:lang w:val="es-MX" w:eastAsia="en-US"/>
        </w:rPr>
      </w:pPr>
      <w:r w:rsidRPr="009E7A0A">
        <w:rPr>
          <w:rFonts w:eastAsia="Calibri"/>
          <w:lang w:val="es-MX" w:eastAsia="en-US"/>
        </w:rPr>
        <w:t xml:space="preserve">Metas corresponden a la Contraloría General de Cuentas, pero la DAAFIM está como otro de los actores importantes por parte del Estado para contribuir </w:t>
      </w:r>
      <w:r>
        <w:rPr>
          <w:rFonts w:eastAsia="Calibri"/>
          <w:lang w:val="es-MX" w:eastAsia="en-US"/>
        </w:rPr>
        <w:t>al cumplimiento del compromiso.</w:t>
      </w:r>
    </w:p>
    <w:p w:rsidR="001E579E" w:rsidRPr="00395D72" w:rsidRDefault="001E579E" w:rsidP="001E579E">
      <w:pPr>
        <w:rPr>
          <w:lang w:val="es-MX"/>
        </w:rPr>
      </w:pPr>
      <w:r w:rsidRPr="00395D72">
        <w:rPr>
          <w:lang w:val="es-MX"/>
        </w:rPr>
        <w:br w:type="page"/>
      </w:r>
    </w:p>
    <w:p w:rsidR="001E579E" w:rsidRPr="00395D72" w:rsidRDefault="001E579E" w:rsidP="00147391">
      <w:pPr>
        <w:pStyle w:val="Ttulo1"/>
        <w:numPr>
          <w:ilvl w:val="0"/>
          <w:numId w:val="29"/>
        </w:numPr>
        <w:rPr>
          <w:lang w:val="es-MX"/>
        </w:rPr>
      </w:pPr>
      <w:bookmarkStart w:id="31" w:name="_Toc460422685"/>
      <w:r w:rsidRPr="00395D72">
        <w:rPr>
          <w:lang w:val="es-MX"/>
        </w:rPr>
        <w:lastRenderedPageBreak/>
        <w:t xml:space="preserve">Logros </w:t>
      </w:r>
      <w:r>
        <w:rPr>
          <w:lang w:val="es-MX"/>
        </w:rPr>
        <w:t>R</w:t>
      </w:r>
      <w:r w:rsidRPr="00395D72">
        <w:rPr>
          <w:lang w:val="es-MX"/>
        </w:rPr>
        <w:t>elevantes de enero</w:t>
      </w:r>
      <w:r>
        <w:rPr>
          <w:lang w:val="es-MX"/>
        </w:rPr>
        <w:t xml:space="preserve"> </w:t>
      </w:r>
      <w:r w:rsidRPr="00395D72">
        <w:rPr>
          <w:lang w:val="es-MX"/>
        </w:rPr>
        <w:t>-</w:t>
      </w:r>
      <w:r>
        <w:rPr>
          <w:lang w:val="es-MX"/>
        </w:rPr>
        <w:t xml:space="preserve"> </w:t>
      </w:r>
      <w:r w:rsidRPr="00395D72">
        <w:rPr>
          <w:lang w:val="es-MX"/>
        </w:rPr>
        <w:t>junio de 2016</w:t>
      </w:r>
      <w:bookmarkEnd w:id="31"/>
    </w:p>
    <w:p w:rsidR="001E579E" w:rsidRPr="00395D72" w:rsidRDefault="001E579E" w:rsidP="001E579E">
      <w:pPr>
        <w:jc w:val="both"/>
      </w:pPr>
    </w:p>
    <w:p w:rsidR="001E579E" w:rsidRPr="00395D72" w:rsidRDefault="001E579E" w:rsidP="001E579E">
      <w:pPr>
        <w:jc w:val="both"/>
        <w:rPr>
          <w:b/>
        </w:rPr>
      </w:pPr>
      <w:r w:rsidRPr="00395D72">
        <w:rPr>
          <w:b/>
        </w:rPr>
        <w:t xml:space="preserve">Acciones en las entidades de la Administración Central </w:t>
      </w:r>
    </w:p>
    <w:p w:rsidR="001E579E" w:rsidRPr="00395D72" w:rsidRDefault="001E579E" w:rsidP="001E579E">
      <w:pPr>
        <w:jc w:val="both"/>
      </w:pPr>
    </w:p>
    <w:p w:rsidR="001E579E" w:rsidRPr="00395D72" w:rsidRDefault="001E579E" w:rsidP="001E579E">
      <w:pPr>
        <w:pStyle w:val="Prrafodelista"/>
        <w:numPr>
          <w:ilvl w:val="0"/>
          <w:numId w:val="17"/>
        </w:numPr>
        <w:contextualSpacing/>
        <w:jc w:val="both"/>
        <w:rPr>
          <w:b/>
        </w:rPr>
      </w:pPr>
      <w:r>
        <w:rPr>
          <w:b/>
        </w:rPr>
        <w:t>Orden en las finanzas públicas:</w:t>
      </w:r>
    </w:p>
    <w:p w:rsidR="001E579E" w:rsidRPr="00395D72" w:rsidRDefault="001E579E" w:rsidP="001E579E">
      <w:pPr>
        <w:pStyle w:val="Prrafodelista"/>
        <w:ind w:left="720"/>
        <w:contextualSpacing/>
        <w:jc w:val="both"/>
        <w:rPr>
          <w:b/>
        </w:rPr>
      </w:pPr>
    </w:p>
    <w:p w:rsidR="001E579E" w:rsidRPr="00395D72" w:rsidRDefault="001E579E" w:rsidP="001E579E">
      <w:pPr>
        <w:pStyle w:val="Prrafodelista"/>
        <w:numPr>
          <w:ilvl w:val="0"/>
          <w:numId w:val="26"/>
        </w:numPr>
        <w:contextualSpacing/>
        <w:jc w:val="both"/>
      </w:pPr>
      <w:r w:rsidRPr="00395D72">
        <w:t>Se logró el ordenamiento de las finanzas públicas que dio como resultado reducir la brecha en un aproximado del 80</w:t>
      </w:r>
      <w:r>
        <w:t>.0</w:t>
      </w:r>
      <w:r w:rsidRPr="00395D72">
        <w:t>% de los Q10</w:t>
      </w:r>
      <w:r>
        <w:t>.0</w:t>
      </w:r>
      <w:r w:rsidRPr="00395D72">
        <w:t xml:space="preserve"> millardos de quetzales de la brecha inicial, lo cual fue posible con acciones de transparencia a través de la firma de un convenio para la formulación del presupuesto y aprobación de la Ley de </w:t>
      </w:r>
      <w:r>
        <w:t>V</w:t>
      </w:r>
      <w:r w:rsidRPr="00395D72">
        <w:t xml:space="preserve">iabilización </w:t>
      </w:r>
      <w:r>
        <w:t>Presupuestaria para el 2016.</w:t>
      </w:r>
    </w:p>
    <w:p w:rsidR="001E579E" w:rsidRPr="00395D72" w:rsidRDefault="001E579E" w:rsidP="001E579E">
      <w:pPr>
        <w:pStyle w:val="Prrafodelista"/>
        <w:jc w:val="both"/>
      </w:pPr>
    </w:p>
    <w:p w:rsidR="001E579E" w:rsidRPr="00395D72" w:rsidRDefault="001E579E" w:rsidP="001E579E">
      <w:pPr>
        <w:pStyle w:val="Prrafodelista"/>
        <w:numPr>
          <w:ilvl w:val="0"/>
          <w:numId w:val="26"/>
        </w:numPr>
        <w:contextualSpacing/>
        <w:jc w:val="both"/>
      </w:pPr>
      <w:r w:rsidRPr="00395D72">
        <w:t xml:space="preserve">Logramos financiar las necesidades prioritarias del presupuesto del Estado y solucionar un problema de disponibilidad de caja que encontramos al inicio del año, para cumplir con los compromisos más urgentes como el pago de salarios de médicos, docentes, deuda y otras obligaciones del Estado. </w:t>
      </w:r>
      <w:r w:rsidRPr="00395D72">
        <w:tab/>
      </w:r>
    </w:p>
    <w:p w:rsidR="001E579E" w:rsidRPr="00395D72" w:rsidRDefault="001E579E" w:rsidP="001E579E">
      <w:pPr>
        <w:jc w:val="both"/>
      </w:pPr>
    </w:p>
    <w:p w:rsidR="001E579E" w:rsidRPr="00395D72" w:rsidRDefault="001E579E" w:rsidP="001E579E">
      <w:pPr>
        <w:pStyle w:val="Prrafodelista"/>
        <w:numPr>
          <w:ilvl w:val="0"/>
          <w:numId w:val="15"/>
        </w:numPr>
        <w:contextualSpacing/>
        <w:jc w:val="both"/>
        <w:rPr>
          <w:b/>
        </w:rPr>
      </w:pPr>
      <w:r w:rsidRPr="00395D72">
        <w:rPr>
          <w:b/>
        </w:rPr>
        <w:t>Ahorros estimados de Q1,207 millones:</w:t>
      </w:r>
    </w:p>
    <w:p w:rsidR="001E579E" w:rsidRPr="00395D72" w:rsidRDefault="001E579E" w:rsidP="001E579E">
      <w:pPr>
        <w:pStyle w:val="Prrafodelista"/>
        <w:ind w:left="720"/>
        <w:contextualSpacing/>
        <w:jc w:val="both"/>
        <w:rPr>
          <w:b/>
        </w:rPr>
      </w:pPr>
    </w:p>
    <w:p w:rsidR="001E579E" w:rsidRPr="00395D72" w:rsidRDefault="001E579E" w:rsidP="001E579E">
      <w:pPr>
        <w:pStyle w:val="Prrafodelista"/>
        <w:numPr>
          <w:ilvl w:val="0"/>
          <w:numId w:val="27"/>
        </w:numPr>
        <w:contextualSpacing/>
        <w:jc w:val="both"/>
        <w:rPr>
          <w:shd w:val="clear" w:color="auto" w:fill="FFFFFF"/>
        </w:rPr>
      </w:pPr>
      <w:r w:rsidRPr="00395D72">
        <w:t>Ahorro estimado de Q1,018.7 millones en el primer semestre en gastos no esenciales y normas de contención del gasto; Ahorro de Q20</w:t>
      </w:r>
      <w:r>
        <w:t>.0</w:t>
      </w:r>
      <w:r w:rsidRPr="00395D72">
        <w:t xml:space="preserve"> millones, en comparación con el primer semestre del 2015, </w:t>
      </w:r>
      <w:r w:rsidRPr="00395D72">
        <w:rPr>
          <w:shd w:val="clear" w:color="auto" w:fill="FFFFFF"/>
        </w:rPr>
        <w:t>por concepto de telecomunicaciones y conectividad a Internet; así como Q43.7 millones en publicidad.</w:t>
      </w:r>
    </w:p>
    <w:p w:rsidR="001E579E" w:rsidRPr="00395D72" w:rsidRDefault="001E579E" w:rsidP="001E579E">
      <w:pPr>
        <w:pStyle w:val="Prrafodelista"/>
        <w:jc w:val="both"/>
      </w:pPr>
    </w:p>
    <w:p w:rsidR="001E579E" w:rsidRPr="00395D72" w:rsidRDefault="001E579E" w:rsidP="001E579E">
      <w:pPr>
        <w:pStyle w:val="Prrafodelista"/>
        <w:numPr>
          <w:ilvl w:val="0"/>
          <w:numId w:val="27"/>
        </w:numPr>
        <w:contextualSpacing/>
        <w:jc w:val="both"/>
      </w:pPr>
      <w:r w:rsidRPr="00395D72">
        <w:t>Se logró un ahorro de Q149</w:t>
      </w:r>
      <w:r>
        <w:t>.0</w:t>
      </w:r>
      <w:r w:rsidRPr="00395D72">
        <w:t xml:space="preserve"> millones en pagos de interés anual, con la colocación de Eurobonos y se obtuvo la tasa de interés más baja de la historia del país en función de su costo de financiamiento a largo plazo.</w:t>
      </w:r>
    </w:p>
    <w:p w:rsidR="001E579E" w:rsidRPr="00395D72" w:rsidRDefault="001E579E" w:rsidP="001E579E">
      <w:pPr>
        <w:jc w:val="both"/>
      </w:pPr>
    </w:p>
    <w:p w:rsidR="001E579E" w:rsidRPr="00395D72" w:rsidRDefault="001E579E" w:rsidP="001E579E">
      <w:pPr>
        <w:pStyle w:val="Prrafodelista"/>
        <w:numPr>
          <w:ilvl w:val="0"/>
          <w:numId w:val="27"/>
        </w:numPr>
        <w:contextualSpacing/>
        <w:jc w:val="both"/>
      </w:pPr>
      <w:r w:rsidRPr="00395D72">
        <w:t>Ahorro estimado de Q40</w:t>
      </w:r>
      <w:r>
        <w:t>.0</w:t>
      </w:r>
      <w:r w:rsidRPr="00395D72">
        <w:t xml:space="preserve"> millones  en contratación de pólizas de seguros a través del Crédito Hipotecario Nacional</w:t>
      </w:r>
      <w:r>
        <w:t xml:space="preserve"> de Guatemala</w:t>
      </w:r>
      <w:r w:rsidRPr="00395D72">
        <w:t>.</w:t>
      </w:r>
    </w:p>
    <w:p w:rsidR="001E579E" w:rsidRPr="00395D72" w:rsidRDefault="001E579E" w:rsidP="001E579E">
      <w:pPr>
        <w:jc w:val="both"/>
      </w:pPr>
    </w:p>
    <w:p w:rsidR="001E579E" w:rsidRPr="00395D72" w:rsidRDefault="001E579E" w:rsidP="001E579E">
      <w:pPr>
        <w:pStyle w:val="Prrafodelista"/>
        <w:numPr>
          <w:ilvl w:val="0"/>
          <w:numId w:val="15"/>
        </w:numPr>
        <w:contextualSpacing/>
        <w:jc w:val="both"/>
        <w:rPr>
          <w:b/>
          <w:shd w:val="clear" w:color="auto" w:fill="FFFFFF"/>
        </w:rPr>
      </w:pPr>
      <w:r w:rsidRPr="00395D72">
        <w:rPr>
          <w:b/>
          <w:shd w:val="clear" w:color="auto" w:fill="FFFFFF"/>
        </w:rPr>
        <w:t>Gobierno Abierto y transparencia</w:t>
      </w:r>
      <w:r>
        <w:rPr>
          <w:b/>
          <w:shd w:val="clear" w:color="auto" w:fill="FFFFFF"/>
        </w:rPr>
        <w:t xml:space="preserve"> fiscal</w:t>
      </w:r>
      <w:r w:rsidRPr="00395D72">
        <w:rPr>
          <w:b/>
          <w:shd w:val="clear" w:color="auto" w:fill="FFFFFF"/>
        </w:rPr>
        <w:t>:</w:t>
      </w:r>
    </w:p>
    <w:p w:rsidR="001E579E" w:rsidRPr="00395D72" w:rsidRDefault="001E579E" w:rsidP="001E579E">
      <w:pPr>
        <w:pStyle w:val="Prrafodelista"/>
        <w:ind w:left="720"/>
        <w:contextualSpacing/>
        <w:jc w:val="both"/>
        <w:rPr>
          <w:b/>
          <w:shd w:val="clear" w:color="auto" w:fill="FFFFFF"/>
        </w:rPr>
      </w:pPr>
    </w:p>
    <w:p w:rsidR="001E579E" w:rsidRPr="00395D72" w:rsidRDefault="001E579E" w:rsidP="001E579E">
      <w:pPr>
        <w:pStyle w:val="Prrafodelista"/>
        <w:numPr>
          <w:ilvl w:val="0"/>
          <w:numId w:val="28"/>
        </w:numPr>
        <w:contextualSpacing/>
        <w:jc w:val="both"/>
      </w:pPr>
      <w:r w:rsidRPr="00395D72">
        <w:t>Presupuesto Abierto: Se implementó la discusión pública de las necesidades presupuestarias de las dependencias del Estado, Organismo Judicial y Ministerio Público para el Presupuesto 2017.</w:t>
      </w:r>
    </w:p>
    <w:p w:rsidR="001E579E" w:rsidRPr="00395D72" w:rsidRDefault="001E579E" w:rsidP="001E579E">
      <w:pPr>
        <w:pStyle w:val="Prrafodelista"/>
        <w:ind w:left="720"/>
        <w:contextualSpacing/>
        <w:jc w:val="both"/>
      </w:pPr>
    </w:p>
    <w:p w:rsidR="001E579E" w:rsidRPr="00395D72" w:rsidRDefault="001E579E" w:rsidP="001E579E">
      <w:pPr>
        <w:pStyle w:val="Prrafodelista"/>
        <w:numPr>
          <w:ilvl w:val="0"/>
          <w:numId w:val="28"/>
        </w:numPr>
        <w:contextualSpacing/>
        <w:jc w:val="both"/>
      </w:pPr>
      <w:r w:rsidRPr="00395D72">
        <w:t>Definición de prioridades de inversión presupuesto 2017: Seguridad y Justicia, Seguridad Alimentaria y Salud Integral y la Generación de Empleo e Ingresos.</w:t>
      </w:r>
    </w:p>
    <w:p w:rsidR="001E579E" w:rsidRPr="00395D72" w:rsidRDefault="001E579E" w:rsidP="001E579E">
      <w:pPr>
        <w:pStyle w:val="Prrafodelista"/>
        <w:ind w:left="720"/>
        <w:contextualSpacing/>
        <w:jc w:val="both"/>
      </w:pPr>
    </w:p>
    <w:p w:rsidR="001E579E" w:rsidRPr="00395D72" w:rsidRDefault="001E579E" w:rsidP="001E579E">
      <w:pPr>
        <w:pStyle w:val="Prrafodelista"/>
        <w:numPr>
          <w:ilvl w:val="0"/>
          <w:numId w:val="28"/>
        </w:numPr>
        <w:contextualSpacing/>
        <w:jc w:val="both"/>
      </w:pPr>
      <w:r w:rsidRPr="00395D72">
        <w:t>Integración de la Mesa Técnica de Transparencia Fiscal en el marco de Alianza de Gobierno Abierto para creación del Tercer Plan de Acción Nacional 2016-2018.</w:t>
      </w:r>
    </w:p>
    <w:p w:rsidR="001E579E" w:rsidRPr="00395D72" w:rsidRDefault="001E579E" w:rsidP="001E579E">
      <w:pPr>
        <w:pStyle w:val="Prrafodelista"/>
        <w:ind w:left="720"/>
        <w:contextualSpacing/>
        <w:jc w:val="both"/>
      </w:pPr>
    </w:p>
    <w:p w:rsidR="001E579E" w:rsidRPr="00395D72" w:rsidRDefault="001E579E" w:rsidP="001E579E">
      <w:pPr>
        <w:pStyle w:val="Prrafodelista"/>
        <w:numPr>
          <w:ilvl w:val="0"/>
          <w:numId w:val="28"/>
        </w:numPr>
        <w:contextualSpacing/>
        <w:jc w:val="both"/>
      </w:pPr>
      <w:r w:rsidRPr="00395D72">
        <w:t>Elaboración y publicación del Reglamento de la Ley de Contrataciones del Estado, para transparentar los procesos de contrataciones y adquisiciones públicas.</w:t>
      </w:r>
    </w:p>
    <w:p w:rsidR="001E579E" w:rsidRPr="00395D72" w:rsidRDefault="001E579E" w:rsidP="001E579E">
      <w:pPr>
        <w:pStyle w:val="Prrafodelista"/>
        <w:ind w:left="720"/>
        <w:contextualSpacing/>
        <w:jc w:val="both"/>
      </w:pPr>
    </w:p>
    <w:p w:rsidR="001E579E" w:rsidRPr="00395D72" w:rsidRDefault="001E579E" w:rsidP="001E579E">
      <w:pPr>
        <w:pStyle w:val="Prrafodelista"/>
        <w:numPr>
          <w:ilvl w:val="0"/>
          <w:numId w:val="28"/>
        </w:numPr>
        <w:contextualSpacing/>
        <w:jc w:val="both"/>
      </w:pPr>
      <w:r w:rsidRPr="00395D72">
        <w:lastRenderedPageBreak/>
        <w:t>Elaboración y publicación de</w:t>
      </w:r>
      <w:r>
        <w:t>l</w:t>
      </w:r>
      <w:r w:rsidRPr="00395D72">
        <w:t xml:space="preserve"> </w:t>
      </w:r>
      <w:r>
        <w:t>R</w:t>
      </w:r>
      <w:r w:rsidRPr="00395D72">
        <w:t>eglamento</w:t>
      </w:r>
      <w:r>
        <w:t xml:space="preserve"> de Manejo de S</w:t>
      </w:r>
      <w:r w:rsidRPr="00395D72">
        <w:t xml:space="preserve">ubsidios y </w:t>
      </w:r>
      <w:r>
        <w:t>S</w:t>
      </w:r>
      <w:r w:rsidRPr="00395D72">
        <w:t xml:space="preserve">ubvenciones que estableció controles que permitan transparentar la ejecución de los mismos. </w:t>
      </w:r>
    </w:p>
    <w:p w:rsidR="001E579E" w:rsidRPr="00395D72" w:rsidRDefault="001E579E" w:rsidP="001E579E">
      <w:pPr>
        <w:pStyle w:val="Prrafodelista"/>
        <w:ind w:left="720"/>
        <w:contextualSpacing/>
        <w:jc w:val="both"/>
      </w:pPr>
    </w:p>
    <w:p w:rsidR="001E579E" w:rsidRPr="00395D72" w:rsidRDefault="001E579E" w:rsidP="001E579E">
      <w:pPr>
        <w:pStyle w:val="Prrafodelista"/>
        <w:numPr>
          <w:ilvl w:val="0"/>
          <w:numId w:val="28"/>
        </w:numPr>
        <w:contextualSpacing/>
        <w:jc w:val="both"/>
      </w:pPr>
      <w:r w:rsidRPr="00395D72">
        <w:t>Creación del portal Guate</w:t>
      </w:r>
      <w:r>
        <w:t>E</w:t>
      </w:r>
      <w:r w:rsidRPr="00395D72">
        <w:t>mpleo y Guate</w:t>
      </w:r>
      <w:r>
        <w:t>N</w:t>
      </w:r>
      <w:r w:rsidRPr="00395D72">
        <w:t xml:space="preserve">óminas para registrar los procesos de reclutamiento y contrataciones y pagos de empleados públicos. </w:t>
      </w:r>
    </w:p>
    <w:p w:rsidR="001E579E" w:rsidRPr="00395D72" w:rsidRDefault="001E579E" w:rsidP="001E579E">
      <w:pPr>
        <w:pStyle w:val="Prrafodelista"/>
        <w:ind w:left="720"/>
        <w:contextualSpacing/>
        <w:jc w:val="both"/>
      </w:pPr>
    </w:p>
    <w:p w:rsidR="001E579E" w:rsidRPr="00395D72" w:rsidRDefault="001E579E" w:rsidP="001E579E">
      <w:pPr>
        <w:pStyle w:val="Prrafodelista"/>
        <w:numPr>
          <w:ilvl w:val="0"/>
          <w:numId w:val="28"/>
        </w:numPr>
        <w:contextualSpacing/>
        <w:jc w:val="both"/>
      </w:pPr>
      <w:r w:rsidRPr="00395D72">
        <w:t>Implementación de tableros de transparencia para las compras y adquisiciones requeridas para el estado de calamidad del Municipio de Jerez, Jutiapa.</w:t>
      </w:r>
    </w:p>
    <w:p w:rsidR="001E579E" w:rsidRPr="00395D72" w:rsidRDefault="001E579E" w:rsidP="001E579E">
      <w:pPr>
        <w:pStyle w:val="Prrafodelista"/>
        <w:ind w:left="720"/>
        <w:contextualSpacing/>
        <w:jc w:val="both"/>
      </w:pPr>
    </w:p>
    <w:p w:rsidR="001E579E" w:rsidRPr="00395D72" w:rsidRDefault="001E579E" w:rsidP="001E579E">
      <w:pPr>
        <w:pStyle w:val="Prrafodelista"/>
        <w:numPr>
          <w:ilvl w:val="0"/>
          <w:numId w:val="28"/>
        </w:numPr>
        <w:contextualSpacing/>
        <w:jc w:val="both"/>
      </w:pPr>
      <w:r w:rsidRPr="00395D72">
        <w:t>Las calificadoras de riesgo país, evaluaron a Guatemala de forma positiva</w:t>
      </w:r>
      <w:r>
        <w:t>;</w:t>
      </w:r>
      <w:r w:rsidRPr="00395D72">
        <w:t xml:space="preserve"> en el caso de Moody´s, la calificadora elevó la perspectiva de Ba1 Negativa a Ba1 Estable y Fitch Ratings la mantuvo en la categoría de Estable. </w:t>
      </w:r>
    </w:p>
    <w:p w:rsidR="001E579E" w:rsidRPr="00395D72" w:rsidRDefault="001E579E" w:rsidP="001E579E">
      <w:pPr>
        <w:pStyle w:val="Prrafodelista"/>
        <w:ind w:left="720"/>
        <w:contextualSpacing/>
        <w:jc w:val="both"/>
      </w:pPr>
    </w:p>
    <w:p w:rsidR="001E579E" w:rsidRPr="00395D72" w:rsidRDefault="001E579E" w:rsidP="001E579E">
      <w:pPr>
        <w:pStyle w:val="Prrafodelista"/>
        <w:numPr>
          <w:ilvl w:val="0"/>
          <w:numId w:val="28"/>
        </w:numPr>
        <w:contextualSpacing/>
        <w:jc w:val="both"/>
      </w:pPr>
      <w:r w:rsidRPr="00395D72">
        <w:t xml:space="preserve">Cabe destacar el acompañamiento en la mesa técnica y el consenso ciudadano alcanzado en la discusión del proyecto de ley de </w:t>
      </w:r>
      <w:r>
        <w:t>R</w:t>
      </w:r>
      <w:r w:rsidRPr="00395D72">
        <w:t>eformas a la Ley Orgánica de la Superintendencia de Administración Tributaria (SAT) para fortalecer el ente recaudador y recuperar la confianza ciudadana.</w:t>
      </w:r>
    </w:p>
    <w:p w:rsidR="001E579E" w:rsidRPr="00395D72" w:rsidRDefault="001E579E" w:rsidP="001E579E">
      <w:pPr>
        <w:jc w:val="both"/>
        <w:rPr>
          <w:highlight w:val="yellow"/>
          <w:lang w:val="es-MX"/>
        </w:rPr>
      </w:pPr>
    </w:p>
    <w:p w:rsidR="001E579E" w:rsidRPr="000221D5" w:rsidRDefault="001E579E" w:rsidP="000221D5">
      <w:pPr>
        <w:jc w:val="both"/>
        <w:rPr>
          <w:b/>
        </w:rPr>
      </w:pPr>
      <w:r w:rsidRPr="000221D5">
        <w:rPr>
          <w:b/>
        </w:rPr>
        <w:t>Algunos logros relevantes en el Ministerio de Finanzas Públicas</w:t>
      </w:r>
    </w:p>
    <w:p w:rsidR="001E579E" w:rsidRPr="00C23BE4" w:rsidRDefault="001E579E" w:rsidP="001E579E">
      <w:pPr>
        <w:jc w:val="both"/>
      </w:pPr>
    </w:p>
    <w:p w:rsidR="001E579E" w:rsidRPr="00395D72" w:rsidRDefault="001E579E" w:rsidP="004F48BD">
      <w:pPr>
        <w:rPr>
          <w:lang w:val="es-GT"/>
        </w:rPr>
      </w:pPr>
      <w:r w:rsidRPr="00C23BE4">
        <w:rPr>
          <w:lang w:val="es-GT"/>
        </w:rPr>
        <w:t>Dirección de Catastro y Avalúo de Bienes Inmuebles</w:t>
      </w:r>
      <w:r w:rsidRPr="00395D72">
        <w:rPr>
          <w:lang w:val="es-GT"/>
        </w:rPr>
        <w:t xml:space="preserve"> </w:t>
      </w:r>
    </w:p>
    <w:p w:rsidR="001E579E" w:rsidRPr="00395D72" w:rsidRDefault="001E579E" w:rsidP="001E579E">
      <w:pPr>
        <w:tabs>
          <w:tab w:val="num" w:pos="720"/>
        </w:tabs>
        <w:jc w:val="both"/>
        <w:rPr>
          <w:b/>
          <w:bCs/>
        </w:rPr>
      </w:pPr>
    </w:p>
    <w:p w:rsidR="001E579E" w:rsidRPr="00395D72" w:rsidRDefault="001E579E" w:rsidP="001E579E">
      <w:pPr>
        <w:tabs>
          <w:tab w:val="num" w:pos="720"/>
        </w:tabs>
        <w:jc w:val="both"/>
        <w:rPr>
          <w:b/>
          <w:bCs/>
        </w:rPr>
      </w:pPr>
      <w:r w:rsidRPr="00395D72">
        <w:rPr>
          <w:b/>
          <w:bCs/>
        </w:rPr>
        <w:t>Zonas homogéneas de valor</w:t>
      </w:r>
    </w:p>
    <w:p w:rsidR="001E579E" w:rsidRPr="00395D72" w:rsidRDefault="001E579E" w:rsidP="001E579E">
      <w:pPr>
        <w:tabs>
          <w:tab w:val="num" w:pos="720"/>
        </w:tabs>
        <w:jc w:val="both"/>
        <w:rPr>
          <w:bCs/>
        </w:rPr>
      </w:pPr>
      <w:r w:rsidRPr="00395D72">
        <w:rPr>
          <w:bCs/>
        </w:rPr>
        <w:t>Se inició el proceso de levantamiento de zonas homogéneas de valor lo que implica contar con una metodología replicable en todo el territorio nacional por parte de las municipalidades.</w:t>
      </w:r>
    </w:p>
    <w:p w:rsidR="001E579E" w:rsidRPr="00395D72" w:rsidRDefault="001E579E" w:rsidP="001E579E">
      <w:pPr>
        <w:tabs>
          <w:tab w:val="num" w:pos="720"/>
        </w:tabs>
        <w:jc w:val="both"/>
        <w:rPr>
          <w:b/>
          <w:bCs/>
        </w:rPr>
      </w:pPr>
    </w:p>
    <w:p w:rsidR="001E579E" w:rsidRPr="00395D72" w:rsidRDefault="001E579E" w:rsidP="001E579E">
      <w:pPr>
        <w:contextualSpacing/>
        <w:jc w:val="both"/>
        <w:rPr>
          <w:bCs/>
        </w:rPr>
      </w:pPr>
      <w:r w:rsidRPr="00395D72">
        <w:rPr>
          <w:b/>
          <w:color w:val="262626"/>
        </w:rPr>
        <w:t>Aviso Notarial Electrónico DICABI.</w:t>
      </w:r>
      <w:r w:rsidRPr="00395D72">
        <w:rPr>
          <w:color w:val="262626"/>
        </w:rPr>
        <w:t xml:space="preserve">  El MINFIN por medio de -DICABI- en alianza con el Registro General de la Propiedad y la Municipalidad de Guatemala, pone a disposición el servicio de Aviso Notarial Electrónico.</w:t>
      </w:r>
    </w:p>
    <w:p w:rsidR="001E579E" w:rsidRPr="00395D72" w:rsidRDefault="001E579E" w:rsidP="001E579E">
      <w:pPr>
        <w:tabs>
          <w:tab w:val="num" w:pos="720"/>
        </w:tabs>
        <w:ind w:left="708"/>
        <w:jc w:val="both"/>
        <w:rPr>
          <w:b/>
        </w:rPr>
      </w:pPr>
    </w:p>
    <w:p w:rsidR="001E579E" w:rsidRPr="00395D72" w:rsidRDefault="001E579E" w:rsidP="001E579E">
      <w:pPr>
        <w:contextualSpacing/>
        <w:jc w:val="both"/>
      </w:pPr>
      <w:r w:rsidRPr="00395D72">
        <w:rPr>
          <w:b/>
        </w:rPr>
        <w:t>Gestión de Expedientes de Procesos Sucesorios:</w:t>
      </w:r>
      <w:r w:rsidRPr="00395D72">
        <w:t xml:space="preserve"> Impuesto de Herencias, Legados y Donaciones, cuyo objetivo es mantener actualizado el trámite de los expedientes de proceso sucesorio formulando la liquidación del impuesto hereditario, durante el semestre del año 2016 se dio un avance del 95</w:t>
      </w:r>
      <w:r>
        <w:t>.0</w:t>
      </w:r>
      <w:r w:rsidRPr="00395D72">
        <w:t>% en el trámite de los mismos, al extremo que se ha superado en la recaudación el 23</w:t>
      </w:r>
      <w:r>
        <w:t>.0</w:t>
      </w:r>
      <w:r w:rsidRPr="00395D72">
        <w:t xml:space="preserve">%. </w:t>
      </w:r>
    </w:p>
    <w:p w:rsidR="001E579E" w:rsidRPr="00395D72" w:rsidRDefault="001E579E" w:rsidP="001E579E">
      <w:pPr>
        <w:ind w:left="708"/>
        <w:jc w:val="both"/>
      </w:pPr>
    </w:p>
    <w:p w:rsidR="001E579E" w:rsidRPr="00395D72" w:rsidRDefault="001E579E" w:rsidP="001E579E">
      <w:pPr>
        <w:jc w:val="both"/>
      </w:pPr>
      <w:r w:rsidRPr="00395D72">
        <w:rPr>
          <w:b/>
        </w:rPr>
        <w:t xml:space="preserve">Descentralización de la Recaudación y Administración del IUSI y Asesorías a diferentes municipalidades. </w:t>
      </w:r>
      <w:r w:rsidRPr="00395D72">
        <w:t>Actualmente se brinda asesoría a diferentes municipalidades que ya administran el IUSI; se promueve la descentralización con el objetivo que cada municipalidad administre y recaude directamente el IUSI para cubrir los proyectos que demanda su municipio.</w:t>
      </w:r>
    </w:p>
    <w:p w:rsidR="001E579E" w:rsidRPr="00395D72" w:rsidRDefault="001E579E" w:rsidP="001E579E">
      <w:pPr>
        <w:jc w:val="both"/>
        <w:rPr>
          <w:b/>
        </w:rPr>
      </w:pPr>
    </w:p>
    <w:p w:rsidR="001E579E" w:rsidRPr="00395D72" w:rsidRDefault="001E579E" w:rsidP="001E579E">
      <w:pPr>
        <w:jc w:val="both"/>
        <w:rPr>
          <w:b/>
          <w:lang w:eastAsia="ja-JP"/>
        </w:rPr>
      </w:pPr>
    </w:p>
    <w:p w:rsidR="001E579E" w:rsidRPr="00395D72" w:rsidRDefault="001E579E" w:rsidP="001E579E">
      <w:pPr>
        <w:jc w:val="both"/>
        <w:rPr>
          <w:b/>
        </w:rPr>
      </w:pPr>
    </w:p>
    <w:p w:rsidR="001E579E" w:rsidRPr="00395D72" w:rsidRDefault="001E579E" w:rsidP="001E579E">
      <w:pPr>
        <w:jc w:val="both"/>
        <w:rPr>
          <w:lang w:val="es-GT"/>
        </w:rPr>
      </w:pPr>
    </w:p>
    <w:p w:rsidR="001E579E" w:rsidRPr="00395D72" w:rsidRDefault="001E579E" w:rsidP="001E579E">
      <w:pPr>
        <w:ind w:left="539" w:hanging="539"/>
        <w:jc w:val="both"/>
        <w:rPr>
          <w:color w:val="000000"/>
          <w:lang w:val="es-GT"/>
        </w:rPr>
      </w:pPr>
    </w:p>
    <w:p w:rsidR="001E579E" w:rsidRPr="00395D72" w:rsidRDefault="001E579E" w:rsidP="001E579E">
      <w:pPr>
        <w:jc w:val="both"/>
        <w:rPr>
          <w:highlight w:val="yellow"/>
        </w:rPr>
      </w:pPr>
    </w:p>
    <w:p w:rsidR="001E579E" w:rsidRPr="00395D72" w:rsidRDefault="001E579E" w:rsidP="001E579E">
      <w:pPr>
        <w:jc w:val="both"/>
        <w:rPr>
          <w:b/>
        </w:rPr>
      </w:pPr>
      <w:r w:rsidRPr="00C23BE4">
        <w:rPr>
          <w:b/>
        </w:rPr>
        <w:lastRenderedPageBreak/>
        <w:t>Dirección de Asuntos Administrativos</w:t>
      </w:r>
    </w:p>
    <w:p w:rsidR="001E579E" w:rsidRPr="00395D72" w:rsidRDefault="001E579E" w:rsidP="001E579E">
      <w:pPr>
        <w:jc w:val="both"/>
      </w:pPr>
    </w:p>
    <w:p w:rsidR="001E579E" w:rsidRPr="00395D72" w:rsidRDefault="001E579E" w:rsidP="001E579E">
      <w:pPr>
        <w:jc w:val="both"/>
      </w:pPr>
      <w:r w:rsidRPr="00395D72">
        <w:t xml:space="preserve">Se continúa dando relevancia al modelo de “Edificio Verde” en el edificio del MINFIN, se lleva a cabo el proceso de sustitución de lámparas incandescentes a LED (sótanos, ascensores, gradas internas). </w:t>
      </w:r>
    </w:p>
    <w:p w:rsidR="001E579E" w:rsidRPr="00395D72" w:rsidRDefault="001E579E" w:rsidP="001E579E">
      <w:pPr>
        <w:ind w:left="720"/>
        <w:jc w:val="both"/>
      </w:pPr>
    </w:p>
    <w:p w:rsidR="001E579E" w:rsidRPr="00395D72" w:rsidRDefault="001E579E" w:rsidP="001E579E">
      <w:pPr>
        <w:jc w:val="both"/>
      </w:pPr>
      <w:r w:rsidRPr="00395D72">
        <w:t>Se cuenta con un nuevo sistema de ascensores, generando energía cinética para iluminación de sótanos (motores de bajo consumo).  El ahorro de energía es de un 40.0%.</w:t>
      </w:r>
    </w:p>
    <w:p w:rsidR="001E579E" w:rsidRPr="00395D72" w:rsidRDefault="001E579E" w:rsidP="001E579E">
      <w:pPr>
        <w:jc w:val="both"/>
      </w:pPr>
    </w:p>
    <w:p w:rsidR="001E579E" w:rsidRPr="00395D72" w:rsidRDefault="001E579E" w:rsidP="001E579E">
      <w:pPr>
        <w:jc w:val="both"/>
      </w:pPr>
      <w:r w:rsidRPr="00395D72">
        <w:t>Remozamiento de gradas internas del edificio</w:t>
      </w:r>
      <w:r>
        <w:t>;</w:t>
      </w:r>
      <w:r w:rsidRPr="00395D72">
        <w:t xml:space="preserve"> 82 lámparas LED.</w:t>
      </w:r>
    </w:p>
    <w:p w:rsidR="001E579E" w:rsidRPr="00395D72" w:rsidRDefault="001E579E" w:rsidP="001E579E">
      <w:pPr>
        <w:jc w:val="both"/>
      </w:pPr>
    </w:p>
    <w:p w:rsidR="001E579E" w:rsidRPr="00395D72" w:rsidRDefault="001E579E" w:rsidP="001E579E">
      <w:pPr>
        <w:jc w:val="both"/>
      </w:pPr>
      <w:r w:rsidRPr="00395D72">
        <w:t>Sustitución de</w:t>
      </w:r>
      <w:r>
        <w:t xml:space="preserve"> </w:t>
      </w:r>
      <w:r w:rsidRPr="00395D72">
        <w:t>1,250 impresoras individuales por estaciones de impresión o islas de impresión</w:t>
      </w:r>
      <w:r>
        <w:t>;</w:t>
      </w:r>
      <w:r w:rsidRPr="00395D72">
        <w:t xml:space="preserve"> 52 islas de impresión.</w:t>
      </w:r>
    </w:p>
    <w:p w:rsidR="001E579E" w:rsidRPr="00395D72" w:rsidRDefault="001E579E" w:rsidP="001E579E">
      <w:pPr>
        <w:jc w:val="both"/>
      </w:pPr>
    </w:p>
    <w:p w:rsidR="001E579E" w:rsidRPr="00395D72" w:rsidRDefault="001E579E" w:rsidP="001E579E">
      <w:pPr>
        <w:jc w:val="both"/>
      </w:pPr>
      <w:r w:rsidRPr="00395D72">
        <w:t>Automatización de gradas eléctricas</w:t>
      </w:r>
      <w:r>
        <w:t>;</w:t>
      </w:r>
      <w:r w:rsidRPr="00395D72">
        <w:t xml:space="preserve"> 10</w:t>
      </w:r>
      <w:r>
        <w:t>.0</w:t>
      </w:r>
      <w:r w:rsidRPr="00395D72">
        <w:t>% de ahorro.</w:t>
      </w:r>
    </w:p>
    <w:p w:rsidR="001E579E" w:rsidRPr="00395D72" w:rsidRDefault="001E579E" w:rsidP="001E579E">
      <w:pPr>
        <w:jc w:val="both"/>
      </w:pPr>
    </w:p>
    <w:p w:rsidR="001E579E" w:rsidRPr="00395D72" w:rsidRDefault="001E579E" w:rsidP="001E579E">
      <w:pPr>
        <w:jc w:val="both"/>
      </w:pPr>
      <w:r w:rsidRPr="00395D72">
        <w:t>Las mejoras se reflejan en el pago de energía eléctrica al pasar de Q600,000</w:t>
      </w:r>
      <w:r>
        <w:t xml:space="preserve"> </w:t>
      </w:r>
      <w:r w:rsidRPr="00395D72">
        <w:t xml:space="preserve"> a</w:t>
      </w:r>
      <w:r>
        <w:t xml:space="preserve"> </w:t>
      </w:r>
      <w:r w:rsidRPr="00395D72">
        <w:t xml:space="preserve"> Q189,811  mensuales, que equivale a un 52</w:t>
      </w:r>
      <w:r>
        <w:t>.0</w:t>
      </w:r>
      <w:r w:rsidRPr="00395D72">
        <w:t>%  de ahorro mensual.</w:t>
      </w:r>
    </w:p>
    <w:p w:rsidR="001E579E" w:rsidRPr="00395D72" w:rsidRDefault="001E579E" w:rsidP="001E579E">
      <w:pPr>
        <w:suppressAutoHyphens/>
        <w:spacing w:after="240"/>
        <w:jc w:val="both"/>
        <w:rPr>
          <w:rFonts w:eastAsia="Calibri"/>
          <w:lang w:eastAsia="en-US" w:bidi="en-US"/>
        </w:rPr>
      </w:pPr>
    </w:p>
    <w:p w:rsidR="001E579E" w:rsidRDefault="001E579E">
      <w:pPr>
        <w:rPr>
          <w:highlight w:val="yellow"/>
        </w:rPr>
      </w:pPr>
    </w:p>
    <w:sectPr w:rsidR="001E579E" w:rsidSect="004C2E12">
      <w:headerReference w:type="even" r:id="rId25"/>
      <w:headerReference w:type="default" r:id="rId26"/>
      <w:footerReference w:type="even" r:id="rId27"/>
      <w:footerReference w:type="defaul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531F" w:rsidRDefault="0062531F" w:rsidP="00BF318F">
      <w:r>
        <w:separator/>
      </w:r>
    </w:p>
  </w:endnote>
  <w:endnote w:type="continuationSeparator" w:id="0">
    <w:p w:rsidR="0062531F" w:rsidRDefault="0062531F" w:rsidP="00BF3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G Times">
    <w:altName w:val="Times New Roman"/>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8BD" w:rsidRDefault="004F48BD">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4515340"/>
      <w:docPartObj>
        <w:docPartGallery w:val="Page Numbers (Bottom of Page)"/>
        <w:docPartUnique/>
      </w:docPartObj>
    </w:sdtPr>
    <w:sdtEndPr/>
    <w:sdtContent>
      <w:p w:rsidR="004F48BD" w:rsidRDefault="004F48BD">
        <w:pPr>
          <w:pStyle w:val="Piedepgina"/>
          <w:jc w:val="right"/>
        </w:pPr>
        <w:r>
          <w:fldChar w:fldCharType="begin"/>
        </w:r>
        <w:r>
          <w:instrText>PAGE   \* MERGEFORMAT</w:instrText>
        </w:r>
        <w:r>
          <w:fldChar w:fldCharType="separate"/>
        </w:r>
        <w:r w:rsidR="008B2606">
          <w:rPr>
            <w:noProof/>
          </w:rPr>
          <w:t>21</w:t>
        </w:r>
        <w:r>
          <w:fldChar w:fldCharType="end"/>
        </w:r>
      </w:p>
    </w:sdtContent>
  </w:sdt>
  <w:p w:rsidR="004F48BD" w:rsidRDefault="004F48B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8BD" w:rsidRDefault="004F48BD" w:rsidP="00EB2FBA">
    <w:pPr>
      <w:pStyle w:val="Piedepgina"/>
    </w:pPr>
  </w:p>
  <w:p w:rsidR="004F48BD" w:rsidRDefault="004F48BD" w:rsidP="00EB2FB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531F" w:rsidRDefault="0062531F" w:rsidP="00BF318F">
      <w:r>
        <w:separator/>
      </w:r>
    </w:p>
  </w:footnote>
  <w:footnote w:type="continuationSeparator" w:id="0">
    <w:p w:rsidR="0062531F" w:rsidRDefault="0062531F" w:rsidP="00BF318F">
      <w:r>
        <w:continuationSeparator/>
      </w:r>
    </w:p>
  </w:footnote>
  <w:footnote w:id="1">
    <w:p w:rsidR="004F48BD" w:rsidRPr="0018006E" w:rsidRDefault="004F48BD" w:rsidP="004F48BD">
      <w:pPr>
        <w:pStyle w:val="Textonotapie"/>
        <w:rPr>
          <w:sz w:val="16"/>
          <w:szCs w:val="16"/>
          <w:lang w:val="es-GT"/>
        </w:rPr>
      </w:pPr>
      <w:r>
        <w:rPr>
          <w:rStyle w:val="Refdenotaalpie"/>
        </w:rPr>
        <w:footnoteRef/>
      </w:r>
      <w:r>
        <w:t xml:space="preserve"> </w:t>
      </w:r>
      <w:r w:rsidRPr="0018006E">
        <w:rPr>
          <w:sz w:val="16"/>
          <w:szCs w:val="16"/>
          <w:lang w:val="es-GT"/>
        </w:rPr>
        <w:t>Política General de Gobierno 2016-2020</w:t>
      </w:r>
    </w:p>
  </w:footnote>
  <w:footnote w:id="2">
    <w:p w:rsidR="004F48BD" w:rsidRPr="009943B2" w:rsidRDefault="004F48BD" w:rsidP="004F48BD">
      <w:pPr>
        <w:pStyle w:val="Textonotapie"/>
        <w:rPr>
          <w:sz w:val="18"/>
        </w:rPr>
      </w:pPr>
      <w:r>
        <w:rPr>
          <w:rStyle w:val="Refdenotaalpie"/>
        </w:rPr>
        <w:footnoteRef/>
      </w:r>
      <w:r>
        <w:t xml:space="preserve"> </w:t>
      </w:r>
      <w:r w:rsidRPr="009943B2">
        <w:rPr>
          <w:sz w:val="18"/>
        </w:rPr>
        <w:t>Debe considerarse que durante el primer semestre 2015, se encontraba vigente el incremento establecido en el Decreto 22-2014 « Ley de Ajuste Fiscal».</w:t>
      </w:r>
    </w:p>
  </w:footnote>
  <w:footnote w:id="3">
    <w:p w:rsidR="004F48BD" w:rsidRPr="00A749F6" w:rsidRDefault="004F48BD" w:rsidP="004F48BD">
      <w:pPr>
        <w:pStyle w:val="Textonotapie"/>
        <w:rPr>
          <w:sz w:val="18"/>
        </w:rPr>
      </w:pPr>
      <w:r>
        <w:rPr>
          <w:rStyle w:val="Refdenotaalpie"/>
        </w:rPr>
        <w:footnoteRef/>
      </w:r>
      <w:r>
        <w:t xml:space="preserve"> </w:t>
      </w:r>
      <w:r w:rsidRPr="00A749F6">
        <w:rPr>
          <w:sz w:val="18"/>
        </w:rPr>
        <w:t xml:space="preserve">Lo cual </w:t>
      </w:r>
      <w:r>
        <w:rPr>
          <w:sz w:val="18"/>
        </w:rPr>
        <w:t xml:space="preserve">guarda estrecha relación con el descenso de </w:t>
      </w:r>
      <w:r w:rsidRPr="00A91592">
        <w:rPr>
          <w:sz w:val="18"/>
        </w:rPr>
        <w:t xml:space="preserve">3.44% </w:t>
      </w:r>
      <w:r>
        <w:rPr>
          <w:sz w:val="18"/>
        </w:rPr>
        <w:t xml:space="preserve"> de l</w:t>
      </w:r>
      <w:r w:rsidRPr="00A91592">
        <w:rPr>
          <w:sz w:val="18"/>
        </w:rPr>
        <w:t xml:space="preserve">a producción de petróleo crudo nacional durante el año 2015 </w:t>
      </w:r>
      <w:r>
        <w:rPr>
          <w:sz w:val="18"/>
        </w:rPr>
        <w:t>(</w:t>
      </w:r>
      <w:r w:rsidRPr="00A91592">
        <w:rPr>
          <w:sz w:val="18"/>
        </w:rPr>
        <w:t>3,542,802.31 barriles</w:t>
      </w:r>
      <w:r>
        <w:rPr>
          <w:sz w:val="18"/>
        </w:rPr>
        <w:t xml:space="preserve">) </w:t>
      </w:r>
      <w:r w:rsidRPr="00A91592">
        <w:rPr>
          <w:sz w:val="18"/>
        </w:rPr>
        <w:t xml:space="preserve"> </w:t>
      </w:r>
      <w:r>
        <w:rPr>
          <w:sz w:val="18"/>
        </w:rPr>
        <w:t>en comparación con el año 2014 (</w:t>
      </w:r>
      <w:r w:rsidRPr="00A91592">
        <w:rPr>
          <w:sz w:val="18"/>
        </w:rPr>
        <w:t>3,668,894.64 barriles</w:t>
      </w:r>
      <w:r>
        <w:t xml:space="preserve">). y la disminución de </w:t>
      </w:r>
    </w:p>
  </w:footnote>
  <w:footnote w:id="4">
    <w:p w:rsidR="004F48BD" w:rsidRPr="00343FF3" w:rsidRDefault="004F48BD">
      <w:pPr>
        <w:pStyle w:val="Textonotapie"/>
      </w:pPr>
      <w:r>
        <w:rPr>
          <w:rStyle w:val="Refdenotaalpie"/>
        </w:rPr>
        <w:footnoteRef/>
      </w:r>
      <w:r>
        <w:t xml:space="preserve"> </w:t>
      </w:r>
      <w:r w:rsidRPr="00343FF3">
        <w:rPr>
          <w:sz w:val="18"/>
        </w:rPr>
        <w:t>El gasto social está destinado a mejorar las condiciones de vida de las familias guatemaltecas, en el mediano y largo plazo, siendo importante resaltar que los montos detallados en el cuadro siguiente incluyen la función “Edad Avanzada”, dentro de la ejecución del sector Salud y Asistencia Social de cada año</w:t>
      </w:r>
      <w:r>
        <w:rPr>
          <w:sz w:val="18"/>
        </w:rPr>
        <w:t>.</w:t>
      </w:r>
    </w:p>
  </w:footnote>
  <w:footnote w:id="5">
    <w:p w:rsidR="004F48BD" w:rsidRDefault="004F48BD" w:rsidP="00401389">
      <w:pPr>
        <w:pStyle w:val="Textonotapie"/>
        <w:jc w:val="both"/>
        <w:rPr>
          <w:sz w:val="18"/>
          <w:szCs w:val="18"/>
          <w:lang w:val="es-MX"/>
        </w:rPr>
      </w:pPr>
      <w:r>
        <w:rPr>
          <w:rStyle w:val="Refdenotaalpie"/>
        </w:rPr>
        <w:footnoteRef/>
      </w:r>
      <w:r>
        <w:t xml:space="preserve"> </w:t>
      </w:r>
      <w:r w:rsidRPr="00CF15B3">
        <w:rPr>
          <w:sz w:val="18"/>
          <w:szCs w:val="18"/>
          <w:lang w:val="es-MX"/>
        </w:rPr>
        <w:t>La iniciativa 4462, proyecto de Ley de Fideicomisos Públicos, regula y dispone las normas y principios que rigen los contratos de fideicomisos públicos, aplicables en la celebración, administración, ejecución, extinción y liquidación de los contratos.  Los recursos que se afecten en dichos contratos preservarán su carácter público y fiscalizable y se observarán los principios de legalidad, economía, eficiencia, eficacia, máxima publicidad, probidad y transparencia en el manejo y ejecución de los recursos públicos, así como los que garanticen que toda actuación pública esté orientada a la consecución del bien común y la debida rendición de cuentas</w:t>
      </w:r>
      <w:r>
        <w:rPr>
          <w:sz w:val="18"/>
          <w:szCs w:val="18"/>
          <w:lang w:val="es-MX"/>
        </w:rPr>
        <w:t>.</w:t>
      </w:r>
    </w:p>
    <w:p w:rsidR="004F48BD" w:rsidRDefault="004F48BD" w:rsidP="00401389">
      <w:pPr>
        <w:pStyle w:val="Textonotapie"/>
        <w:jc w:val="both"/>
        <w:rPr>
          <w:sz w:val="18"/>
          <w:szCs w:val="18"/>
          <w:lang w:val="es-MX"/>
        </w:rPr>
      </w:pPr>
    </w:p>
    <w:p w:rsidR="004F48BD" w:rsidRPr="00401389" w:rsidRDefault="004F48BD" w:rsidP="00401389">
      <w:pPr>
        <w:pStyle w:val="Textonotapie"/>
        <w:jc w:val="both"/>
        <w:rPr>
          <w:sz w:val="18"/>
        </w:rPr>
      </w:pPr>
      <w:r>
        <w:rPr>
          <w:sz w:val="18"/>
          <w:lang w:val="es-MX"/>
        </w:rPr>
        <w:t>Asimismo, e</w:t>
      </w:r>
      <w:r w:rsidRPr="00401389">
        <w:rPr>
          <w:sz w:val="18"/>
          <w:lang w:val="es-MX"/>
        </w:rPr>
        <w:t>l detalle de los fideicomisos se encuentra en el portal del Ministerio de Finanzas Públicas y contiene una amplia gama de información sobre fideicomisos vigentes, en liquidación y vencidos, tanto de la Administración Central como de las Entidades Descentralizadas y Autónomas. El uso de fideicomisos actualmente está regulado en el Capítulo VI, artículos del 45 al 52 de la Ley del Presupuesto General de Ingresos y Egresos del Estado para el Ejercicio Fiscal 2016, Decreto No. 14-2015 del Congreso de la República de Guatemala.</w:t>
      </w:r>
    </w:p>
  </w:footnote>
  <w:footnote w:id="6">
    <w:p w:rsidR="004F48BD" w:rsidRPr="00AE4E5C" w:rsidRDefault="004F48BD" w:rsidP="00AE4E5C">
      <w:pPr>
        <w:pStyle w:val="Textonotapie"/>
        <w:jc w:val="both"/>
      </w:pPr>
      <w:r>
        <w:rPr>
          <w:rStyle w:val="Refdenotaalpie"/>
        </w:rPr>
        <w:footnoteRef/>
      </w:r>
      <w:r>
        <w:t xml:space="preserve"> </w:t>
      </w:r>
      <w:r w:rsidRPr="00AE4E5C">
        <w:rPr>
          <w:sz w:val="18"/>
          <w:lang w:val="es-MX"/>
        </w:rPr>
        <w:t xml:space="preserve">No obstante que el artículo 33 Bis del </w:t>
      </w:r>
      <w:r w:rsidRPr="00AE4E5C">
        <w:rPr>
          <w:sz w:val="18"/>
        </w:rPr>
        <w:t>Decreto</w:t>
      </w:r>
      <w:r w:rsidRPr="00AE4E5C">
        <w:rPr>
          <w:sz w:val="18"/>
          <w:lang w:val="es-MX"/>
        </w:rPr>
        <w:t xml:space="preserve"> No. 101-97 del Congreso de la República de Guatemala, Ley Orgánica del Presupuesto, prohíbe suscribir convenios para ejecutar recursos de programas y proyectos a través de Organizaciones No Gubernamentales, Organismos Internacionales o Asociaciones, exceptuando al Ministerio de Salud Pública y Asistencia Social, algunas entidades trasladan recursos a estas instituciones bajo la modalidad de “entes receptores de transferencias”, sin contraprestación de servicios, porque el país es miembro de alguna organización y según el convenio de adhesión, es necesario cancelar una membresía anual. Además, varias instituciones trasladan aportes a estas organizaciones por concepto de subsidios y subvenciones cuya ejecución se encuentra normada en el Acuerdo Gubernativo No. 55-2016, “Reglamento de Manejo de Subsidios y Subvenciones”</w:t>
      </w:r>
      <w:r>
        <w:rPr>
          <w:sz w:val="18"/>
          <w:lang w:val="es-MX"/>
        </w:rPr>
        <w:t>.</w:t>
      </w:r>
    </w:p>
  </w:footnote>
  <w:footnote w:id="7">
    <w:p w:rsidR="004F48BD" w:rsidRPr="005A7F15" w:rsidRDefault="004F48BD" w:rsidP="002D2C3A">
      <w:pPr>
        <w:pStyle w:val="Textonotapie"/>
        <w:jc w:val="both"/>
        <w:rPr>
          <w:sz w:val="18"/>
          <w:szCs w:val="18"/>
        </w:rPr>
      </w:pPr>
      <w:r w:rsidRPr="005A7F15">
        <w:rPr>
          <w:rStyle w:val="Refdenotaalpie"/>
          <w:sz w:val="18"/>
          <w:szCs w:val="18"/>
        </w:rPr>
        <w:footnoteRef/>
      </w:r>
      <w:r w:rsidRPr="005A7F15">
        <w:rPr>
          <w:sz w:val="18"/>
          <w:szCs w:val="18"/>
        </w:rPr>
        <w:t xml:space="preserve"> Cupo de colocaciones de bonos del tesoro, cuyos recursos servirán para realizar el pago de los bonos del tesoro que vencen en el presente ejercicio fiscal y que fueron emitidos en años anteriores.</w:t>
      </w:r>
    </w:p>
  </w:footnote>
  <w:footnote w:id="8">
    <w:p w:rsidR="004F48BD" w:rsidRPr="005A7F15" w:rsidRDefault="004F48BD" w:rsidP="002D2C3A">
      <w:pPr>
        <w:pStyle w:val="Textonotapie"/>
        <w:jc w:val="both"/>
        <w:rPr>
          <w:sz w:val="18"/>
          <w:szCs w:val="18"/>
        </w:rPr>
      </w:pPr>
      <w:r w:rsidRPr="005A7F15">
        <w:rPr>
          <w:rStyle w:val="Refdenotaalpie"/>
          <w:sz w:val="18"/>
          <w:szCs w:val="18"/>
        </w:rPr>
        <w:footnoteRef/>
      </w:r>
      <w:r w:rsidRPr="005A7F15">
        <w:rPr>
          <w:sz w:val="18"/>
          <w:szCs w:val="18"/>
        </w:rPr>
        <w:t xml:space="preserve"> Esta restricción fue posteriormente eliminada, mediante el artículo 1 del Decreto No. 29-2016.</w:t>
      </w:r>
    </w:p>
  </w:footnote>
  <w:footnote w:id="9">
    <w:p w:rsidR="004F48BD" w:rsidRPr="005A7F15" w:rsidRDefault="004F48BD" w:rsidP="00CC0874">
      <w:pPr>
        <w:pStyle w:val="Textonotapie"/>
        <w:jc w:val="both"/>
        <w:rPr>
          <w:sz w:val="18"/>
          <w:lang w:val="es-MX"/>
        </w:rPr>
      </w:pPr>
      <w:r w:rsidRPr="005A7F15">
        <w:rPr>
          <w:rStyle w:val="Refdenotaalpie"/>
          <w:sz w:val="22"/>
        </w:rPr>
        <w:footnoteRef/>
      </w:r>
      <w:r w:rsidRPr="005A7F15">
        <w:rPr>
          <w:sz w:val="22"/>
        </w:rPr>
        <w:t xml:space="preserve"> </w:t>
      </w:r>
      <w:r w:rsidRPr="005A7F15">
        <w:rPr>
          <w:sz w:val="18"/>
        </w:rPr>
        <w:t>Del monto nominal total colocado de Q5,428.5 millones se recibió en términos efectivos Q5,452.9 millones, habiendo generado un  saldo positivo neto de Q24.4 millones.</w:t>
      </w:r>
    </w:p>
  </w:footnote>
  <w:footnote w:id="10">
    <w:p w:rsidR="004F48BD" w:rsidRPr="005A7F15" w:rsidRDefault="004F48BD" w:rsidP="00CC0874">
      <w:pPr>
        <w:pStyle w:val="Textonotapie"/>
        <w:jc w:val="both"/>
        <w:rPr>
          <w:sz w:val="18"/>
          <w:lang w:val="es-MX"/>
        </w:rPr>
      </w:pPr>
      <w:r w:rsidRPr="005A7F15">
        <w:rPr>
          <w:rStyle w:val="Refdenotaalpie"/>
          <w:sz w:val="22"/>
        </w:rPr>
        <w:footnoteRef/>
      </w:r>
      <w:r w:rsidRPr="005A7F15">
        <w:rPr>
          <w:sz w:val="22"/>
        </w:rPr>
        <w:t xml:space="preserve"> </w:t>
      </w:r>
      <w:r w:rsidRPr="005A7F15">
        <w:rPr>
          <w:sz w:val="18"/>
        </w:rPr>
        <w:t>No incluye monto de restitución de Deficiencias Netas, derivado que no constituyen  operaciones de mercado.</w:t>
      </w:r>
    </w:p>
  </w:footnote>
  <w:footnote w:id="11">
    <w:p w:rsidR="004F48BD" w:rsidRPr="003F4E01" w:rsidRDefault="004F48BD" w:rsidP="001E579E">
      <w:pPr>
        <w:pStyle w:val="Textonotapie"/>
        <w:jc w:val="both"/>
        <w:rPr>
          <w:sz w:val="18"/>
          <w:lang w:val="es-MX"/>
        </w:rPr>
      </w:pPr>
      <w:r w:rsidRPr="003F4E01">
        <w:rPr>
          <w:rStyle w:val="Refdenotaalpie"/>
          <w:sz w:val="18"/>
        </w:rPr>
        <w:footnoteRef/>
      </w:r>
      <w:r w:rsidRPr="003F4E01">
        <w:rPr>
          <w:sz w:val="18"/>
        </w:rPr>
        <w:t xml:space="preserve"> </w:t>
      </w:r>
      <w:r w:rsidRPr="003F4E01">
        <w:rPr>
          <w:rFonts w:eastAsia="Malgun Gothic"/>
          <w:sz w:val="18"/>
          <w:lang w:val="es-GT" w:eastAsia="ko-KR"/>
        </w:rPr>
        <w:t>Las</w:t>
      </w:r>
      <w:r w:rsidRPr="003F4E01">
        <w:rPr>
          <w:rFonts w:eastAsia="Malgun Gothic"/>
          <w:sz w:val="18"/>
          <w:lang w:val="es-ES_tradnl" w:eastAsia="ko-KR"/>
        </w:rPr>
        <w:t xml:space="preserve"> finanzas públicas están expuestas a diversos riesgos que ponen en peligro el crecimiento económico y </w:t>
      </w:r>
      <w:r>
        <w:rPr>
          <w:rFonts w:eastAsia="Malgun Gothic"/>
          <w:sz w:val="18"/>
          <w:lang w:val="es-ES_tradnl" w:eastAsia="ko-KR"/>
        </w:rPr>
        <w:t xml:space="preserve">el </w:t>
      </w:r>
      <w:r w:rsidRPr="003F4E01">
        <w:rPr>
          <w:rFonts w:eastAsia="Malgun Gothic"/>
          <w:sz w:val="18"/>
          <w:lang w:val="es-ES_tradnl" w:eastAsia="ko-KR"/>
        </w:rPr>
        <w:t xml:space="preserve">desarrollo inclusivo del país. </w:t>
      </w:r>
      <w:r w:rsidRPr="003F4E01">
        <w:rPr>
          <w:rFonts w:eastAsia="Malgun Gothic"/>
          <w:sz w:val="18"/>
          <w:lang w:val="es-GT" w:eastAsia="ko-KR"/>
        </w:rPr>
        <w:t xml:space="preserve">La evidencia sugiere que la atención </w:t>
      </w:r>
      <w:r>
        <w:rPr>
          <w:rFonts w:eastAsia="Malgun Gothic"/>
          <w:sz w:val="18"/>
          <w:lang w:val="es-GT" w:eastAsia="ko-KR"/>
        </w:rPr>
        <w:t>de</w:t>
      </w:r>
      <w:r w:rsidRPr="003F4E01">
        <w:rPr>
          <w:rFonts w:eastAsia="Malgun Gothic"/>
          <w:sz w:val="18"/>
          <w:lang w:val="es-GT" w:eastAsia="ko-KR"/>
        </w:rPr>
        <w:t xml:space="preserve"> los diversos shocks que han afectado al país durante las últimas décadas, se ha realizado de forma reactiva, la inadecuada gestión de riesgos fiscales y la inexistencia de una estrategia financiera para atenderlos, además de generar cuantiosos pasivos contingentes, ha provocado que su financiamiento provenga en mayor porcentaje de los ingresos corrientes, para lo cual, el Ministerio de Finanzas Públicas ha tenido que realizar reasignaciones presupuestarias y reorientación de recursos incluso en más de un período fiscal según la magnitud del evento, lo que provoca una serie de desequilibrios y  la reducción de recursos orientados a la ejecución de diversos programas y proyectos imprescindibles para la atención de necesidades prioritarias, condicionando el crecimiento económico y el desarrollo del país.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8BD" w:rsidRDefault="004F48BD" w:rsidP="00CE683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F48BD" w:rsidRDefault="004F48BD" w:rsidP="00CE6835">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8BD" w:rsidRPr="00801582" w:rsidRDefault="004F48BD" w:rsidP="00801582">
    <w:pPr>
      <w:pStyle w:val="Encabezado"/>
      <w:tabs>
        <w:tab w:val="clear" w:pos="8504"/>
      </w:tabs>
      <w:jc w:val="center"/>
      <w:rPr>
        <w:rFonts w:ascii="Arial" w:hAnsi="Arial" w:cs="Arial"/>
        <w:b/>
        <w:sz w:val="22"/>
        <w:szCs w:val="22"/>
        <w:lang w:val="es-GT"/>
      </w:rPr>
    </w:pPr>
    <w:r w:rsidRPr="00801582">
      <w:rPr>
        <w:rFonts w:ascii="Arial" w:hAnsi="Arial" w:cs="Arial"/>
        <w:b/>
        <w:sz w:val="22"/>
        <w:szCs w:val="22"/>
        <w:lang w:val="es-GT"/>
      </w:rPr>
      <w:t>Informe del Desempeño de la Política Fiscal y  Actividades del Primer Semestre 201</w:t>
    </w:r>
    <w:r>
      <w:rPr>
        <w:rFonts w:ascii="Arial" w:hAnsi="Arial" w:cs="Arial"/>
        <w:b/>
        <w:sz w:val="22"/>
        <w:szCs w:val="22"/>
        <w:lang w:val="es-GT"/>
      </w:rPr>
      <w:t>6</w:t>
    </w:r>
  </w:p>
  <w:p w:rsidR="004F48BD" w:rsidRPr="000705AA" w:rsidRDefault="004F48BD" w:rsidP="00CE6835">
    <w:pPr>
      <w:pStyle w:val="Encabezado"/>
      <w:ind w:right="360"/>
      <w:jc w:val="center"/>
      <w:rPr>
        <w:rFonts w:ascii="Arial" w:hAnsi="Arial" w:cs="Arial"/>
        <w:b/>
        <w:color w:val="95B3D7"/>
        <w:u w:val="single"/>
        <w:lang w:val="es-GT"/>
      </w:rPr>
    </w:pPr>
    <w:r>
      <w:rPr>
        <w:noProof/>
        <w:lang w:val="es-GT" w:eastAsia="es-GT"/>
      </w:rPr>
      <mc:AlternateContent>
        <mc:Choice Requires="wps">
          <w:drawing>
            <wp:anchor distT="4294967291" distB="4294967291" distL="114300" distR="114300" simplePos="0" relativeHeight="251657216" behindDoc="0" locked="0" layoutInCell="1" allowOverlap="1" wp14:anchorId="6FFBECB4" wp14:editId="2EB4B167">
              <wp:simplePos x="0" y="0"/>
              <wp:positionH relativeFrom="column">
                <wp:posOffset>-118110</wp:posOffset>
              </wp:positionH>
              <wp:positionV relativeFrom="paragraph">
                <wp:posOffset>73659</wp:posOffset>
              </wp:positionV>
              <wp:extent cx="6066155" cy="0"/>
              <wp:effectExtent l="19050" t="76200" r="125095" b="114300"/>
              <wp:wrapNone/>
              <wp:docPr id="15" name="1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66155" cy="0"/>
                      </a:xfrm>
                      <a:prstGeom prst="line">
                        <a:avLst/>
                      </a:prstGeom>
                      <a:noFill/>
                      <a:ln w="31750" cap="rnd" cmpd="dbl" algn="ctr">
                        <a:solidFill>
                          <a:srgbClr val="4F81BD">
                            <a:shade val="95000"/>
                            <a:satMod val="105000"/>
                          </a:srgbClr>
                        </a:solidFill>
                        <a:prstDash val="solid"/>
                      </a:ln>
                      <a:effectLst>
                        <a:outerShdw blurRad="50800" dist="38100" algn="l" rotWithShape="0">
                          <a:prstClr val="black">
                            <a:alpha val="40000"/>
                          </a:prstClr>
                        </a:outerShdw>
                      </a:effectLst>
                      <a:scene3d>
                        <a:camera prst="orthographicFront"/>
                        <a:lightRig rig="soft" dir="t"/>
                      </a:scene3d>
                      <a:sp3d>
                        <a:bevelT/>
                      </a:sp3d>
                    </wps:spPr>
                    <wps:bodyPr/>
                  </wps:wsp>
                </a:graphicData>
              </a:graphic>
              <wp14:sizeRelH relativeFrom="page">
                <wp14:pctWidth>0</wp14:pctWidth>
              </wp14:sizeRelH>
              <wp14:sizeRelV relativeFrom="page">
                <wp14:pctHeight>0</wp14:pctHeight>
              </wp14:sizeRelV>
            </wp:anchor>
          </w:drawing>
        </mc:Choice>
        <mc:Fallback>
          <w:pict>
            <v:line w14:anchorId="299AC525" id="15 Conector recto" o:spid="_x0000_s1026" style="position:absolute;z-index:251657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3pt,5.8pt" to="468.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" strokecolor="#4a7ebb" strokeweight="2.5pt">
              <v:stroke linestyle="thinThin" endcap="round"/>
              <v:shadow on="t" color="black" opacity="26214f" origin="-.5" offset="3pt,0"/>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A"/>
    <w:multiLevelType w:val="singleLevel"/>
    <w:tmpl w:val="0000001A"/>
    <w:name w:val="WW8Num26"/>
    <w:lvl w:ilvl="0">
      <w:start w:val="1"/>
      <w:numFmt w:val="decimal"/>
      <w:lvlText w:val="%1."/>
      <w:lvlJc w:val="left"/>
      <w:pPr>
        <w:tabs>
          <w:tab w:val="num" w:pos="0"/>
        </w:tabs>
        <w:ind w:left="720" w:hanging="360"/>
      </w:pPr>
      <w:rPr>
        <w:b/>
      </w:rPr>
    </w:lvl>
  </w:abstractNum>
  <w:abstractNum w:abstractNumId="1" w15:restartNumberingAfterBreak="0">
    <w:nsid w:val="008B0E5E"/>
    <w:multiLevelType w:val="hybridMultilevel"/>
    <w:tmpl w:val="C84CC330"/>
    <w:lvl w:ilvl="0" w:tplc="D95C3A44">
      <w:start w:val="1"/>
      <w:numFmt w:val="upperRoman"/>
      <w:lvlText w:val="%1."/>
      <w:lvlJc w:val="left"/>
      <w:pPr>
        <w:ind w:left="1080" w:hanging="72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CCB03D0"/>
    <w:multiLevelType w:val="hybridMultilevel"/>
    <w:tmpl w:val="C34A92C2"/>
    <w:lvl w:ilvl="0" w:tplc="100A0011">
      <w:start w:val="1"/>
      <w:numFmt w:val="decimal"/>
      <w:lvlText w:val="%1)"/>
      <w:lvlJc w:val="left"/>
      <w:pPr>
        <w:ind w:left="720" w:hanging="360"/>
      </w:pPr>
      <w:rPr>
        <w:rFont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0DBF0E9E"/>
    <w:multiLevelType w:val="hybridMultilevel"/>
    <w:tmpl w:val="CF347ED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1E5F577A"/>
    <w:multiLevelType w:val="hybridMultilevel"/>
    <w:tmpl w:val="CA363384"/>
    <w:lvl w:ilvl="0" w:tplc="43F0BD54">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1FB526EC"/>
    <w:multiLevelType w:val="hybridMultilevel"/>
    <w:tmpl w:val="911C7B7C"/>
    <w:lvl w:ilvl="0" w:tplc="100A000F">
      <w:start w:val="1"/>
      <w:numFmt w:val="decimal"/>
      <w:lvlText w:val="%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27082682"/>
    <w:multiLevelType w:val="hybridMultilevel"/>
    <w:tmpl w:val="F93037A2"/>
    <w:lvl w:ilvl="0" w:tplc="100A0011">
      <w:start w:val="1"/>
      <w:numFmt w:val="decimal"/>
      <w:lvlText w:val="%1)"/>
      <w:lvlJc w:val="left"/>
      <w:pPr>
        <w:ind w:left="720" w:hanging="360"/>
      </w:pPr>
      <w:rPr>
        <w:rFont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295B4833"/>
    <w:multiLevelType w:val="hybridMultilevel"/>
    <w:tmpl w:val="9EF6C2A6"/>
    <w:lvl w:ilvl="0" w:tplc="100A000F">
      <w:start w:val="6"/>
      <w:numFmt w:val="decimal"/>
      <w:lvlText w:val="%1."/>
      <w:lvlJc w:val="left"/>
      <w:pPr>
        <w:ind w:left="644" w:hanging="360"/>
      </w:pPr>
      <w:rPr>
        <w:rFonts w:hint="default"/>
      </w:rPr>
    </w:lvl>
    <w:lvl w:ilvl="1" w:tplc="100A0019" w:tentative="1">
      <w:start w:val="1"/>
      <w:numFmt w:val="lowerLetter"/>
      <w:lvlText w:val="%2."/>
      <w:lvlJc w:val="left"/>
      <w:pPr>
        <w:ind w:left="1364" w:hanging="360"/>
      </w:p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8" w15:restartNumberingAfterBreak="0">
    <w:nsid w:val="29832FFA"/>
    <w:multiLevelType w:val="hybridMultilevel"/>
    <w:tmpl w:val="3392D388"/>
    <w:lvl w:ilvl="0" w:tplc="100A000F">
      <w:start w:val="4"/>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33340D77"/>
    <w:multiLevelType w:val="hybridMultilevel"/>
    <w:tmpl w:val="E028106C"/>
    <w:lvl w:ilvl="0" w:tplc="6E005C1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15:restartNumberingAfterBreak="0">
    <w:nsid w:val="3B6B3F97"/>
    <w:multiLevelType w:val="multilevel"/>
    <w:tmpl w:val="9D765D90"/>
    <w:lvl w:ilvl="0">
      <w:start w:val="1"/>
      <w:numFmt w:val="upperRoman"/>
      <w:lvlText w:val="%1."/>
      <w:lvlJc w:val="left"/>
      <w:pPr>
        <w:tabs>
          <w:tab w:val="num" w:pos="0"/>
        </w:tabs>
        <w:ind w:left="432" w:hanging="432"/>
      </w:pPr>
      <w:rPr>
        <w:rFonts w:hint="default"/>
      </w:rPr>
    </w:lvl>
    <w:lvl w:ilvl="1">
      <w:start w:val="1"/>
      <w:numFmt w:val="upperLetter"/>
      <w:lvlText w:val="%2."/>
      <w:lvlJc w:val="left"/>
      <w:pPr>
        <w:tabs>
          <w:tab w:val="num" w:pos="0"/>
        </w:tabs>
        <w:ind w:left="576" w:hanging="576"/>
      </w:pPr>
      <w:rPr>
        <w:rFonts w:ascii="Times New Roman" w:hAnsi="Times New Roman" w:cs="Times New Roman" w:hint="default"/>
        <w:b/>
        <w:i w:val="0"/>
        <w:color w:val="auto"/>
      </w:rPr>
    </w:lvl>
    <w:lvl w:ilvl="2">
      <w:start w:val="1"/>
      <w:numFmt w:val="decimal"/>
      <w:lvlText w:val="%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1" w15:restartNumberingAfterBreak="0">
    <w:nsid w:val="43CA63E7"/>
    <w:multiLevelType w:val="hybridMultilevel"/>
    <w:tmpl w:val="5B1E03EC"/>
    <w:lvl w:ilvl="0" w:tplc="D60AE358">
      <w:start w:val="4"/>
      <w:numFmt w:val="upperRoman"/>
      <w:lvlText w:val="%1."/>
      <w:lvlJc w:val="left"/>
      <w:pPr>
        <w:ind w:left="862" w:hanging="720"/>
      </w:pPr>
      <w:rPr>
        <w:rFonts w:hint="default"/>
      </w:rPr>
    </w:lvl>
    <w:lvl w:ilvl="1" w:tplc="100A0019" w:tentative="1">
      <w:start w:val="1"/>
      <w:numFmt w:val="lowerLetter"/>
      <w:lvlText w:val="%2."/>
      <w:lvlJc w:val="left"/>
      <w:pPr>
        <w:ind w:left="1222" w:hanging="360"/>
      </w:pPr>
    </w:lvl>
    <w:lvl w:ilvl="2" w:tplc="100A001B" w:tentative="1">
      <w:start w:val="1"/>
      <w:numFmt w:val="lowerRoman"/>
      <w:lvlText w:val="%3."/>
      <w:lvlJc w:val="right"/>
      <w:pPr>
        <w:ind w:left="1942" w:hanging="180"/>
      </w:pPr>
    </w:lvl>
    <w:lvl w:ilvl="3" w:tplc="100A000F" w:tentative="1">
      <w:start w:val="1"/>
      <w:numFmt w:val="decimal"/>
      <w:lvlText w:val="%4."/>
      <w:lvlJc w:val="left"/>
      <w:pPr>
        <w:ind w:left="2662" w:hanging="360"/>
      </w:pPr>
    </w:lvl>
    <w:lvl w:ilvl="4" w:tplc="100A0019" w:tentative="1">
      <w:start w:val="1"/>
      <w:numFmt w:val="lowerLetter"/>
      <w:lvlText w:val="%5."/>
      <w:lvlJc w:val="left"/>
      <w:pPr>
        <w:ind w:left="3382" w:hanging="360"/>
      </w:pPr>
    </w:lvl>
    <w:lvl w:ilvl="5" w:tplc="100A001B" w:tentative="1">
      <w:start w:val="1"/>
      <w:numFmt w:val="lowerRoman"/>
      <w:lvlText w:val="%6."/>
      <w:lvlJc w:val="right"/>
      <w:pPr>
        <w:ind w:left="4102" w:hanging="180"/>
      </w:pPr>
    </w:lvl>
    <w:lvl w:ilvl="6" w:tplc="100A000F" w:tentative="1">
      <w:start w:val="1"/>
      <w:numFmt w:val="decimal"/>
      <w:lvlText w:val="%7."/>
      <w:lvlJc w:val="left"/>
      <w:pPr>
        <w:ind w:left="4822" w:hanging="360"/>
      </w:pPr>
    </w:lvl>
    <w:lvl w:ilvl="7" w:tplc="100A0019" w:tentative="1">
      <w:start w:val="1"/>
      <w:numFmt w:val="lowerLetter"/>
      <w:lvlText w:val="%8."/>
      <w:lvlJc w:val="left"/>
      <w:pPr>
        <w:ind w:left="5542" w:hanging="360"/>
      </w:pPr>
    </w:lvl>
    <w:lvl w:ilvl="8" w:tplc="100A001B" w:tentative="1">
      <w:start w:val="1"/>
      <w:numFmt w:val="lowerRoman"/>
      <w:lvlText w:val="%9."/>
      <w:lvlJc w:val="right"/>
      <w:pPr>
        <w:ind w:left="6262" w:hanging="180"/>
      </w:pPr>
    </w:lvl>
  </w:abstractNum>
  <w:abstractNum w:abstractNumId="12" w15:restartNumberingAfterBreak="0">
    <w:nsid w:val="46626642"/>
    <w:multiLevelType w:val="hybridMultilevel"/>
    <w:tmpl w:val="709C9DD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3" w15:restartNumberingAfterBreak="0">
    <w:nsid w:val="513F2A17"/>
    <w:multiLevelType w:val="hybridMultilevel"/>
    <w:tmpl w:val="26FCFBE8"/>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4" w15:restartNumberingAfterBreak="0">
    <w:nsid w:val="5CF314A0"/>
    <w:multiLevelType w:val="multilevel"/>
    <w:tmpl w:val="FA620FD4"/>
    <w:lvl w:ilvl="0">
      <w:start w:val="1"/>
      <w:numFmt w:val="upperRoman"/>
      <w:lvlText w:val="%1."/>
      <w:lvlJc w:val="left"/>
      <w:pPr>
        <w:tabs>
          <w:tab w:val="num" w:pos="0"/>
        </w:tabs>
        <w:ind w:left="432" w:hanging="432"/>
      </w:pPr>
      <w:rPr>
        <w:rFonts w:hint="default"/>
      </w:rPr>
    </w:lvl>
    <w:lvl w:ilvl="1">
      <w:start w:val="1"/>
      <w:numFmt w:val="upperLetter"/>
      <w:lvlText w:val="%2."/>
      <w:lvlJc w:val="left"/>
      <w:pPr>
        <w:tabs>
          <w:tab w:val="num" w:pos="0"/>
        </w:tabs>
        <w:ind w:left="576" w:hanging="576"/>
      </w:pPr>
      <w:rPr>
        <w:rFonts w:ascii="Times New Roman" w:hAnsi="Times New Roman" w:cs="Times New Roman" w:hint="default"/>
        <w:b/>
        <w:i w:val="0"/>
        <w:color w:val="auto"/>
      </w:rPr>
    </w:lvl>
    <w:lvl w:ilvl="2">
      <w:start w:val="1"/>
      <w:numFmt w:val="decimal"/>
      <w:lvlText w:val="%1.%2.%3"/>
      <w:lvlJc w:val="left"/>
      <w:pPr>
        <w:tabs>
          <w:tab w:val="num" w:pos="0"/>
        </w:tabs>
        <w:ind w:left="720" w:hanging="720"/>
      </w:pPr>
      <w:rPr>
        <w:rFonts w:hint="default"/>
      </w:rPr>
    </w:lvl>
    <w:lvl w:ilvl="3">
      <w:start w:val="1"/>
      <w:numFmt w:val="lowerLetter"/>
      <w:lvlText w:val="%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5" w15:restartNumberingAfterBreak="0">
    <w:nsid w:val="5DB66949"/>
    <w:multiLevelType w:val="hybridMultilevel"/>
    <w:tmpl w:val="469A06A2"/>
    <w:lvl w:ilvl="0" w:tplc="100A0011">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6" w15:restartNumberingAfterBreak="0">
    <w:nsid w:val="5F1A201B"/>
    <w:multiLevelType w:val="hybridMultilevel"/>
    <w:tmpl w:val="3B662676"/>
    <w:lvl w:ilvl="0" w:tplc="970043AE">
      <w:start w:val="1"/>
      <w:numFmt w:val="upperLetter"/>
      <w:lvlText w:val="%1."/>
      <w:lvlJc w:val="left"/>
      <w:pPr>
        <w:tabs>
          <w:tab w:val="num" w:pos="284"/>
        </w:tabs>
        <w:ind w:left="284" w:hanging="284"/>
      </w:pPr>
      <w:rPr>
        <w:rFonts w:hint="default"/>
      </w:rPr>
    </w:lvl>
    <w:lvl w:ilvl="1" w:tplc="7CA095A2">
      <w:start w:val="1"/>
      <w:numFmt w:val="bullet"/>
      <w:lvlText w:val="-"/>
      <w:lvlJc w:val="left"/>
      <w:pPr>
        <w:tabs>
          <w:tab w:val="num" w:pos="1363"/>
        </w:tabs>
        <w:ind w:left="1363" w:hanging="283"/>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0">
    <w:nsid w:val="63394AB9"/>
    <w:multiLevelType w:val="multilevel"/>
    <w:tmpl w:val="9A3093B6"/>
    <w:lvl w:ilvl="0">
      <w:start w:val="1"/>
      <w:numFmt w:val="upperRoman"/>
      <w:pStyle w:val="Ttulo1"/>
      <w:lvlText w:val="%1."/>
      <w:lvlJc w:val="left"/>
      <w:pPr>
        <w:tabs>
          <w:tab w:val="num" w:pos="142"/>
        </w:tabs>
        <w:ind w:left="574" w:hanging="432"/>
      </w:pPr>
      <w:rPr>
        <w:rFonts w:hint="default"/>
      </w:rPr>
    </w:lvl>
    <w:lvl w:ilvl="1">
      <w:start w:val="1"/>
      <w:numFmt w:val="upperLetter"/>
      <w:pStyle w:val="Ttulo2"/>
      <w:lvlText w:val="%2."/>
      <w:lvlJc w:val="left"/>
      <w:pPr>
        <w:tabs>
          <w:tab w:val="num" w:pos="0"/>
        </w:tabs>
        <w:ind w:left="576" w:hanging="576"/>
      </w:pPr>
      <w:rPr>
        <w:rFonts w:ascii="Times New Roman" w:hAnsi="Times New Roman" w:cs="Times New Roman" w:hint="default"/>
        <w:b/>
        <w:i w:val="0"/>
        <w:color w:val="auto"/>
      </w:rPr>
    </w:lvl>
    <w:lvl w:ilvl="2">
      <w:start w:val="1"/>
      <w:numFmt w:val="decimal"/>
      <w:pStyle w:val="Ttulo3"/>
      <w:lvlText w:val="%1.%2.%3"/>
      <w:lvlJc w:val="left"/>
      <w:pPr>
        <w:tabs>
          <w:tab w:val="num" w:pos="0"/>
        </w:tabs>
        <w:ind w:left="720" w:hanging="720"/>
      </w:pPr>
      <w:rPr>
        <w:rFonts w:hint="default"/>
      </w:rPr>
    </w:lvl>
    <w:lvl w:ilvl="3">
      <w:start w:val="1"/>
      <w:numFmt w:val="decimal"/>
      <w:pStyle w:val="Ttulo4"/>
      <w:lvlText w:val="%1.%2.%3.%4"/>
      <w:lvlJc w:val="left"/>
      <w:pPr>
        <w:tabs>
          <w:tab w:val="num" w:pos="0"/>
        </w:tabs>
        <w:ind w:left="864" w:hanging="864"/>
      </w:pPr>
      <w:rPr>
        <w:rFonts w:hint="default"/>
      </w:rPr>
    </w:lvl>
    <w:lvl w:ilvl="4">
      <w:start w:val="1"/>
      <w:numFmt w:val="decimal"/>
      <w:pStyle w:val="Ttulo5"/>
      <w:lvlText w:val="%1.%2.%3.%4.%5"/>
      <w:lvlJc w:val="left"/>
      <w:pPr>
        <w:tabs>
          <w:tab w:val="num" w:pos="0"/>
        </w:tabs>
        <w:ind w:left="1008" w:hanging="1008"/>
      </w:pPr>
      <w:rPr>
        <w:rFonts w:hint="default"/>
      </w:rPr>
    </w:lvl>
    <w:lvl w:ilvl="5">
      <w:start w:val="1"/>
      <w:numFmt w:val="decimal"/>
      <w:pStyle w:val="Ttulo6"/>
      <w:lvlText w:val="%1.%2.%3.%4.%5.%6"/>
      <w:lvlJc w:val="left"/>
      <w:pPr>
        <w:tabs>
          <w:tab w:val="num" w:pos="0"/>
        </w:tabs>
        <w:ind w:left="1152" w:hanging="1152"/>
      </w:pPr>
      <w:rPr>
        <w:rFonts w:hint="default"/>
      </w:rPr>
    </w:lvl>
    <w:lvl w:ilvl="6">
      <w:start w:val="1"/>
      <w:numFmt w:val="decimal"/>
      <w:pStyle w:val="Ttulo7"/>
      <w:lvlText w:val="%1.%2.%3.%4.%5.%6.%7"/>
      <w:lvlJc w:val="left"/>
      <w:pPr>
        <w:tabs>
          <w:tab w:val="num" w:pos="0"/>
        </w:tabs>
        <w:ind w:left="1296" w:hanging="1296"/>
      </w:pPr>
      <w:rPr>
        <w:rFonts w:hint="default"/>
      </w:rPr>
    </w:lvl>
    <w:lvl w:ilvl="7">
      <w:start w:val="1"/>
      <w:numFmt w:val="decimal"/>
      <w:pStyle w:val="Ttulo8"/>
      <w:lvlText w:val="%1.%2.%3.%4.%5.%6.%7.%8"/>
      <w:lvlJc w:val="left"/>
      <w:pPr>
        <w:tabs>
          <w:tab w:val="num" w:pos="0"/>
        </w:tabs>
        <w:ind w:left="1440" w:hanging="1440"/>
      </w:pPr>
      <w:rPr>
        <w:rFonts w:hint="default"/>
      </w:rPr>
    </w:lvl>
    <w:lvl w:ilvl="8">
      <w:start w:val="1"/>
      <w:numFmt w:val="decimal"/>
      <w:pStyle w:val="Ttulo9"/>
      <w:lvlText w:val="%1.%2.%3.%4.%5.%6.%7.%8.%9"/>
      <w:lvlJc w:val="left"/>
      <w:pPr>
        <w:tabs>
          <w:tab w:val="num" w:pos="0"/>
        </w:tabs>
        <w:ind w:left="1584" w:hanging="1584"/>
      </w:pPr>
      <w:rPr>
        <w:rFonts w:hint="default"/>
      </w:rPr>
    </w:lvl>
  </w:abstractNum>
  <w:abstractNum w:abstractNumId="18" w15:restartNumberingAfterBreak="0">
    <w:nsid w:val="64677D39"/>
    <w:multiLevelType w:val="hybridMultilevel"/>
    <w:tmpl w:val="91A292A2"/>
    <w:lvl w:ilvl="0" w:tplc="734499C8">
      <w:start w:val="1"/>
      <w:numFmt w:val="upperRoman"/>
      <w:lvlText w:val="%1."/>
      <w:lvlJc w:val="left"/>
      <w:pPr>
        <w:ind w:left="765" w:hanging="720"/>
      </w:pPr>
      <w:rPr>
        <w:rFonts w:hint="default"/>
      </w:rPr>
    </w:lvl>
    <w:lvl w:ilvl="1" w:tplc="100A0019">
      <w:start w:val="1"/>
      <w:numFmt w:val="lowerLetter"/>
      <w:lvlText w:val="%2."/>
      <w:lvlJc w:val="left"/>
      <w:pPr>
        <w:ind w:left="1440" w:hanging="360"/>
      </w:pPr>
    </w:lvl>
    <w:lvl w:ilvl="2" w:tplc="100A001B">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6C082C89"/>
    <w:multiLevelType w:val="multilevel"/>
    <w:tmpl w:val="6EEA7632"/>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F945A5C"/>
    <w:multiLevelType w:val="hybridMultilevel"/>
    <w:tmpl w:val="6EC0293A"/>
    <w:lvl w:ilvl="0" w:tplc="100A000F">
      <w:start w:val="1"/>
      <w:numFmt w:val="decimal"/>
      <w:lvlText w:val="%1."/>
      <w:lvlJc w:val="left"/>
      <w:pPr>
        <w:ind w:left="720" w:hanging="360"/>
      </w:pPr>
      <w:rPr>
        <w:rFont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1" w15:restartNumberingAfterBreak="0">
    <w:nsid w:val="73002222"/>
    <w:multiLevelType w:val="hybridMultilevel"/>
    <w:tmpl w:val="2EB8A422"/>
    <w:lvl w:ilvl="0" w:tplc="5F02278A">
      <w:numFmt w:val="bullet"/>
      <w:lvlText w:val=""/>
      <w:lvlJc w:val="left"/>
      <w:pPr>
        <w:ind w:left="720" w:hanging="360"/>
      </w:pPr>
      <w:rPr>
        <w:rFonts w:ascii="Symbol" w:eastAsiaTheme="minorEastAsia" w:hAnsi="Symbol" w:cs="Aria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2" w15:restartNumberingAfterBreak="0">
    <w:nsid w:val="76626843"/>
    <w:multiLevelType w:val="hybridMultilevel"/>
    <w:tmpl w:val="33E66E3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777F0BCA"/>
    <w:multiLevelType w:val="hybridMultilevel"/>
    <w:tmpl w:val="C6F2D4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91E5064"/>
    <w:multiLevelType w:val="hybridMultilevel"/>
    <w:tmpl w:val="92900BBA"/>
    <w:lvl w:ilvl="0" w:tplc="82CAF02C">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5" w15:restartNumberingAfterBreak="0">
    <w:nsid w:val="7A933F8A"/>
    <w:multiLevelType w:val="hybridMultilevel"/>
    <w:tmpl w:val="69565F64"/>
    <w:lvl w:ilvl="0" w:tplc="847CF7A0">
      <w:numFmt w:val="bullet"/>
      <w:lvlText w:val="-"/>
      <w:lvlJc w:val="left"/>
      <w:pPr>
        <w:ind w:left="720" w:hanging="360"/>
      </w:pPr>
      <w:rPr>
        <w:rFonts w:ascii="Arial" w:eastAsiaTheme="minorEastAsia" w:hAnsi="Arial" w:cs="Arial"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6" w15:restartNumberingAfterBreak="0">
    <w:nsid w:val="7D6B38AE"/>
    <w:multiLevelType w:val="hybridMultilevel"/>
    <w:tmpl w:val="4B3A845A"/>
    <w:lvl w:ilvl="0" w:tplc="100A0011">
      <w:start w:val="1"/>
      <w:numFmt w:val="decimal"/>
      <w:lvlText w:val="%1)"/>
      <w:lvlJc w:val="left"/>
      <w:pPr>
        <w:ind w:left="720" w:hanging="360"/>
      </w:pPr>
      <w:rPr>
        <w:rFont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17"/>
  </w:num>
  <w:num w:numId="2">
    <w:abstractNumId w:val="5"/>
  </w:num>
  <w:num w:numId="3">
    <w:abstractNumId w:val="24"/>
  </w:num>
  <w:num w:numId="4">
    <w:abstractNumId w:val="19"/>
  </w:num>
  <w:num w:numId="5">
    <w:abstractNumId w:val="10"/>
  </w:num>
  <w:num w:numId="6">
    <w:abstractNumId w:val="14"/>
  </w:num>
  <w:num w:numId="7">
    <w:abstractNumId w:val="18"/>
  </w:num>
  <w:num w:numId="8">
    <w:abstractNumId w:val="1"/>
  </w:num>
  <w:num w:numId="9">
    <w:abstractNumId w:val="16"/>
  </w:num>
  <w:num w:numId="10">
    <w:abstractNumId w:val="15"/>
  </w:num>
  <w:num w:numId="11">
    <w:abstractNumId w:val="13"/>
  </w:num>
  <w:num w:numId="12">
    <w:abstractNumId w:val="3"/>
  </w:num>
  <w:num w:numId="13">
    <w:abstractNumId w:val="4"/>
  </w:num>
  <w:num w:numId="14">
    <w:abstractNumId w:val="12"/>
  </w:num>
  <w:num w:numId="15">
    <w:abstractNumId w:val="23"/>
  </w:num>
  <w:num w:numId="16">
    <w:abstractNumId w:val="25"/>
  </w:num>
  <w:num w:numId="17">
    <w:abstractNumId w:val="21"/>
  </w:num>
  <w:num w:numId="18">
    <w:abstractNumId w:val="7"/>
  </w:num>
  <w:num w:numId="19">
    <w:abstractNumId w:val="8"/>
  </w:num>
  <w:num w:numId="20">
    <w:abstractNumId w:val="9"/>
  </w:num>
  <w:num w:numId="21">
    <w:abstractNumId w:val="22"/>
  </w:num>
  <w:num w:numId="22">
    <w:abstractNumId w:val="17"/>
  </w:num>
  <w:num w:numId="23">
    <w:abstractNumId w:val="17"/>
  </w:num>
  <w:num w:numId="24">
    <w:abstractNumId w:val="17"/>
  </w:num>
  <w:num w:numId="25">
    <w:abstractNumId w:val="20"/>
  </w:num>
  <w:num w:numId="26">
    <w:abstractNumId w:val="2"/>
  </w:num>
  <w:num w:numId="27">
    <w:abstractNumId w:val="26"/>
  </w:num>
  <w:num w:numId="28">
    <w:abstractNumId w:val="6"/>
  </w:num>
  <w:num w:numId="29">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8F6"/>
    <w:rsid w:val="00000271"/>
    <w:rsid w:val="00001501"/>
    <w:rsid w:val="000017DD"/>
    <w:rsid w:val="00001941"/>
    <w:rsid w:val="000026A6"/>
    <w:rsid w:val="00002C71"/>
    <w:rsid w:val="00002F20"/>
    <w:rsid w:val="00006C7E"/>
    <w:rsid w:val="00007971"/>
    <w:rsid w:val="00011C9C"/>
    <w:rsid w:val="000166C1"/>
    <w:rsid w:val="00017B3B"/>
    <w:rsid w:val="000221D5"/>
    <w:rsid w:val="000249ED"/>
    <w:rsid w:val="00025284"/>
    <w:rsid w:val="00025E2C"/>
    <w:rsid w:val="000270F6"/>
    <w:rsid w:val="000335A6"/>
    <w:rsid w:val="000339BE"/>
    <w:rsid w:val="0003552B"/>
    <w:rsid w:val="00036623"/>
    <w:rsid w:val="0003764E"/>
    <w:rsid w:val="00041492"/>
    <w:rsid w:val="000417AF"/>
    <w:rsid w:val="00047128"/>
    <w:rsid w:val="00047418"/>
    <w:rsid w:val="00050464"/>
    <w:rsid w:val="00050D2F"/>
    <w:rsid w:val="000514DA"/>
    <w:rsid w:val="000520A7"/>
    <w:rsid w:val="0005699A"/>
    <w:rsid w:val="00057F62"/>
    <w:rsid w:val="00062367"/>
    <w:rsid w:val="00065E12"/>
    <w:rsid w:val="00067496"/>
    <w:rsid w:val="00071A03"/>
    <w:rsid w:val="00073C9A"/>
    <w:rsid w:val="000763E5"/>
    <w:rsid w:val="00076496"/>
    <w:rsid w:val="000775C1"/>
    <w:rsid w:val="00080461"/>
    <w:rsid w:val="00080D50"/>
    <w:rsid w:val="00084505"/>
    <w:rsid w:val="00085B6E"/>
    <w:rsid w:val="00085EBA"/>
    <w:rsid w:val="0008753F"/>
    <w:rsid w:val="00087544"/>
    <w:rsid w:val="00087634"/>
    <w:rsid w:val="00095237"/>
    <w:rsid w:val="000967ED"/>
    <w:rsid w:val="00096966"/>
    <w:rsid w:val="000A0AA2"/>
    <w:rsid w:val="000A2F7E"/>
    <w:rsid w:val="000A36B5"/>
    <w:rsid w:val="000A54A7"/>
    <w:rsid w:val="000A698B"/>
    <w:rsid w:val="000B006C"/>
    <w:rsid w:val="000B0E01"/>
    <w:rsid w:val="000B3701"/>
    <w:rsid w:val="000B4F22"/>
    <w:rsid w:val="000B60B9"/>
    <w:rsid w:val="000B7AA2"/>
    <w:rsid w:val="000C0344"/>
    <w:rsid w:val="000C1014"/>
    <w:rsid w:val="000C1A25"/>
    <w:rsid w:val="000C1A68"/>
    <w:rsid w:val="000C1D4D"/>
    <w:rsid w:val="000C279B"/>
    <w:rsid w:val="000C29D6"/>
    <w:rsid w:val="000C2A92"/>
    <w:rsid w:val="000C3FEC"/>
    <w:rsid w:val="000C4AD7"/>
    <w:rsid w:val="000C4D67"/>
    <w:rsid w:val="000C53BE"/>
    <w:rsid w:val="000C6E8D"/>
    <w:rsid w:val="000C75FE"/>
    <w:rsid w:val="000D0A1C"/>
    <w:rsid w:val="000D10F4"/>
    <w:rsid w:val="000D3BEF"/>
    <w:rsid w:val="000D4A27"/>
    <w:rsid w:val="000D55A3"/>
    <w:rsid w:val="000D5D6E"/>
    <w:rsid w:val="000D7E66"/>
    <w:rsid w:val="000E1F0E"/>
    <w:rsid w:val="000E2190"/>
    <w:rsid w:val="000E34DD"/>
    <w:rsid w:val="000E3F15"/>
    <w:rsid w:val="000E43D0"/>
    <w:rsid w:val="000E448D"/>
    <w:rsid w:val="000E4B70"/>
    <w:rsid w:val="000E6666"/>
    <w:rsid w:val="000E695D"/>
    <w:rsid w:val="000E7D80"/>
    <w:rsid w:val="000F0CC7"/>
    <w:rsid w:val="000F1729"/>
    <w:rsid w:val="000F304B"/>
    <w:rsid w:val="000F31D3"/>
    <w:rsid w:val="000F476E"/>
    <w:rsid w:val="000F61DA"/>
    <w:rsid w:val="000F6870"/>
    <w:rsid w:val="000F7C84"/>
    <w:rsid w:val="00100FA2"/>
    <w:rsid w:val="00102469"/>
    <w:rsid w:val="001038B1"/>
    <w:rsid w:val="00106CF0"/>
    <w:rsid w:val="0011418E"/>
    <w:rsid w:val="001156FE"/>
    <w:rsid w:val="0011619F"/>
    <w:rsid w:val="0011651D"/>
    <w:rsid w:val="00117403"/>
    <w:rsid w:val="00123324"/>
    <w:rsid w:val="0012373F"/>
    <w:rsid w:val="00124E70"/>
    <w:rsid w:val="00125647"/>
    <w:rsid w:val="001261B0"/>
    <w:rsid w:val="00126FB8"/>
    <w:rsid w:val="00131323"/>
    <w:rsid w:val="00131BC0"/>
    <w:rsid w:val="00133286"/>
    <w:rsid w:val="001335CF"/>
    <w:rsid w:val="001339AA"/>
    <w:rsid w:val="00136F4B"/>
    <w:rsid w:val="00137200"/>
    <w:rsid w:val="00142A1E"/>
    <w:rsid w:val="001432F1"/>
    <w:rsid w:val="0014364E"/>
    <w:rsid w:val="00147391"/>
    <w:rsid w:val="00150099"/>
    <w:rsid w:val="00152A09"/>
    <w:rsid w:val="00153337"/>
    <w:rsid w:val="00153867"/>
    <w:rsid w:val="00153C4F"/>
    <w:rsid w:val="00160059"/>
    <w:rsid w:val="001601B9"/>
    <w:rsid w:val="00160835"/>
    <w:rsid w:val="00160A89"/>
    <w:rsid w:val="001611FC"/>
    <w:rsid w:val="00163055"/>
    <w:rsid w:val="00164C3E"/>
    <w:rsid w:val="001674D6"/>
    <w:rsid w:val="00167975"/>
    <w:rsid w:val="00170963"/>
    <w:rsid w:val="00170E9E"/>
    <w:rsid w:val="001721E2"/>
    <w:rsid w:val="00172283"/>
    <w:rsid w:val="00173EAE"/>
    <w:rsid w:val="001749CE"/>
    <w:rsid w:val="0017542C"/>
    <w:rsid w:val="001756B5"/>
    <w:rsid w:val="00175C23"/>
    <w:rsid w:val="0018006E"/>
    <w:rsid w:val="00180854"/>
    <w:rsid w:val="00180A0E"/>
    <w:rsid w:val="00182E50"/>
    <w:rsid w:val="001843DB"/>
    <w:rsid w:val="001879A9"/>
    <w:rsid w:val="00187E1E"/>
    <w:rsid w:val="0019039C"/>
    <w:rsid w:val="00191216"/>
    <w:rsid w:val="0019180E"/>
    <w:rsid w:val="00191AE8"/>
    <w:rsid w:val="001924AD"/>
    <w:rsid w:val="00194D4C"/>
    <w:rsid w:val="00195D8B"/>
    <w:rsid w:val="001966ED"/>
    <w:rsid w:val="001A137C"/>
    <w:rsid w:val="001A50D4"/>
    <w:rsid w:val="001A5C6B"/>
    <w:rsid w:val="001A613A"/>
    <w:rsid w:val="001B07B2"/>
    <w:rsid w:val="001B2234"/>
    <w:rsid w:val="001B4259"/>
    <w:rsid w:val="001B4C14"/>
    <w:rsid w:val="001B5A69"/>
    <w:rsid w:val="001B656E"/>
    <w:rsid w:val="001B69BD"/>
    <w:rsid w:val="001B7DD0"/>
    <w:rsid w:val="001C1168"/>
    <w:rsid w:val="001C2713"/>
    <w:rsid w:val="001C2DAF"/>
    <w:rsid w:val="001C4C02"/>
    <w:rsid w:val="001C5216"/>
    <w:rsid w:val="001C6241"/>
    <w:rsid w:val="001C7CA7"/>
    <w:rsid w:val="001C7CDF"/>
    <w:rsid w:val="001D0B5B"/>
    <w:rsid w:val="001D2E72"/>
    <w:rsid w:val="001D5D2B"/>
    <w:rsid w:val="001D7DFC"/>
    <w:rsid w:val="001E02BB"/>
    <w:rsid w:val="001E1597"/>
    <w:rsid w:val="001E1E63"/>
    <w:rsid w:val="001E28A0"/>
    <w:rsid w:val="001E3DB7"/>
    <w:rsid w:val="001E579E"/>
    <w:rsid w:val="001E6DEE"/>
    <w:rsid w:val="001F0BC8"/>
    <w:rsid w:val="001F13DC"/>
    <w:rsid w:val="001F22BB"/>
    <w:rsid w:val="001F2900"/>
    <w:rsid w:val="001F2A2B"/>
    <w:rsid w:val="001F5849"/>
    <w:rsid w:val="001F58C5"/>
    <w:rsid w:val="001F74FB"/>
    <w:rsid w:val="002041A8"/>
    <w:rsid w:val="00204263"/>
    <w:rsid w:val="00204CE1"/>
    <w:rsid w:val="00205BBD"/>
    <w:rsid w:val="00206BE7"/>
    <w:rsid w:val="002139A8"/>
    <w:rsid w:val="00215592"/>
    <w:rsid w:val="0021669B"/>
    <w:rsid w:val="00216E8D"/>
    <w:rsid w:val="00216EFF"/>
    <w:rsid w:val="002213F6"/>
    <w:rsid w:val="002215DA"/>
    <w:rsid w:val="00221D8E"/>
    <w:rsid w:val="00222913"/>
    <w:rsid w:val="002239F6"/>
    <w:rsid w:val="0022647B"/>
    <w:rsid w:val="00226658"/>
    <w:rsid w:val="00226FB9"/>
    <w:rsid w:val="0023230B"/>
    <w:rsid w:val="00235E44"/>
    <w:rsid w:val="002403F9"/>
    <w:rsid w:val="00241ECD"/>
    <w:rsid w:val="00243EA4"/>
    <w:rsid w:val="00244244"/>
    <w:rsid w:val="00246614"/>
    <w:rsid w:val="00246B8D"/>
    <w:rsid w:val="00250BE9"/>
    <w:rsid w:val="0025124D"/>
    <w:rsid w:val="00251639"/>
    <w:rsid w:val="00251E1C"/>
    <w:rsid w:val="00253236"/>
    <w:rsid w:val="00255AF8"/>
    <w:rsid w:val="00256FA8"/>
    <w:rsid w:val="00257A94"/>
    <w:rsid w:val="00260546"/>
    <w:rsid w:val="00263435"/>
    <w:rsid w:val="00263C1E"/>
    <w:rsid w:val="00264910"/>
    <w:rsid w:val="00265DA8"/>
    <w:rsid w:val="0027470A"/>
    <w:rsid w:val="00274AF0"/>
    <w:rsid w:val="00274F39"/>
    <w:rsid w:val="00275623"/>
    <w:rsid w:val="00281FCD"/>
    <w:rsid w:val="00284A00"/>
    <w:rsid w:val="0028530C"/>
    <w:rsid w:val="002861B8"/>
    <w:rsid w:val="00286A67"/>
    <w:rsid w:val="00287473"/>
    <w:rsid w:val="00287F49"/>
    <w:rsid w:val="002906B2"/>
    <w:rsid w:val="00292D4F"/>
    <w:rsid w:val="00292F2F"/>
    <w:rsid w:val="0029379A"/>
    <w:rsid w:val="00294F1B"/>
    <w:rsid w:val="0029692B"/>
    <w:rsid w:val="00297931"/>
    <w:rsid w:val="002A0B27"/>
    <w:rsid w:val="002A46ED"/>
    <w:rsid w:val="002A5E8F"/>
    <w:rsid w:val="002A6F3B"/>
    <w:rsid w:val="002B1785"/>
    <w:rsid w:val="002B44C0"/>
    <w:rsid w:val="002B62DF"/>
    <w:rsid w:val="002B7181"/>
    <w:rsid w:val="002C169B"/>
    <w:rsid w:val="002C3219"/>
    <w:rsid w:val="002C3D99"/>
    <w:rsid w:val="002C49BF"/>
    <w:rsid w:val="002C5E93"/>
    <w:rsid w:val="002C6B76"/>
    <w:rsid w:val="002C7DD6"/>
    <w:rsid w:val="002D2C3A"/>
    <w:rsid w:val="002D786C"/>
    <w:rsid w:val="002E073E"/>
    <w:rsid w:val="002E0D7D"/>
    <w:rsid w:val="002E1458"/>
    <w:rsid w:val="002E31F9"/>
    <w:rsid w:val="002E3253"/>
    <w:rsid w:val="002E5B6B"/>
    <w:rsid w:val="002F3B68"/>
    <w:rsid w:val="002F4543"/>
    <w:rsid w:val="002F5528"/>
    <w:rsid w:val="002F747D"/>
    <w:rsid w:val="003007C7"/>
    <w:rsid w:val="00300FD8"/>
    <w:rsid w:val="00302458"/>
    <w:rsid w:val="003031DB"/>
    <w:rsid w:val="003075D1"/>
    <w:rsid w:val="00307AFF"/>
    <w:rsid w:val="00310AC7"/>
    <w:rsid w:val="003115D1"/>
    <w:rsid w:val="003115F3"/>
    <w:rsid w:val="003132DD"/>
    <w:rsid w:val="00315303"/>
    <w:rsid w:val="003162F2"/>
    <w:rsid w:val="003163CB"/>
    <w:rsid w:val="00316541"/>
    <w:rsid w:val="003211CD"/>
    <w:rsid w:val="00321356"/>
    <w:rsid w:val="00321F48"/>
    <w:rsid w:val="00324198"/>
    <w:rsid w:val="00324A91"/>
    <w:rsid w:val="003274F7"/>
    <w:rsid w:val="0033026A"/>
    <w:rsid w:val="00330A02"/>
    <w:rsid w:val="003335DD"/>
    <w:rsid w:val="00333AB5"/>
    <w:rsid w:val="003365B1"/>
    <w:rsid w:val="00337FB4"/>
    <w:rsid w:val="00341E49"/>
    <w:rsid w:val="0034304B"/>
    <w:rsid w:val="00343CFB"/>
    <w:rsid w:val="00343FF3"/>
    <w:rsid w:val="00347C7E"/>
    <w:rsid w:val="00347FB7"/>
    <w:rsid w:val="00350C28"/>
    <w:rsid w:val="00352B41"/>
    <w:rsid w:val="00352DE7"/>
    <w:rsid w:val="00355326"/>
    <w:rsid w:val="00355C28"/>
    <w:rsid w:val="003563D1"/>
    <w:rsid w:val="00356BF7"/>
    <w:rsid w:val="00356E86"/>
    <w:rsid w:val="0035762A"/>
    <w:rsid w:val="00361AE8"/>
    <w:rsid w:val="003637E9"/>
    <w:rsid w:val="00363B6B"/>
    <w:rsid w:val="00363F31"/>
    <w:rsid w:val="00364A3A"/>
    <w:rsid w:val="00364B64"/>
    <w:rsid w:val="0036693C"/>
    <w:rsid w:val="003679D2"/>
    <w:rsid w:val="00375355"/>
    <w:rsid w:val="00375966"/>
    <w:rsid w:val="00375F88"/>
    <w:rsid w:val="003764D0"/>
    <w:rsid w:val="00377DD9"/>
    <w:rsid w:val="00382593"/>
    <w:rsid w:val="0038332D"/>
    <w:rsid w:val="00383710"/>
    <w:rsid w:val="00383CA7"/>
    <w:rsid w:val="00384199"/>
    <w:rsid w:val="00387CCA"/>
    <w:rsid w:val="00391CED"/>
    <w:rsid w:val="003937AC"/>
    <w:rsid w:val="00395D72"/>
    <w:rsid w:val="003A3DE7"/>
    <w:rsid w:val="003A5ECB"/>
    <w:rsid w:val="003A7822"/>
    <w:rsid w:val="003B0D27"/>
    <w:rsid w:val="003B0F2C"/>
    <w:rsid w:val="003B2C58"/>
    <w:rsid w:val="003B2D1B"/>
    <w:rsid w:val="003B2ED8"/>
    <w:rsid w:val="003B3299"/>
    <w:rsid w:val="003B647D"/>
    <w:rsid w:val="003B686B"/>
    <w:rsid w:val="003C033C"/>
    <w:rsid w:val="003C0489"/>
    <w:rsid w:val="003C0613"/>
    <w:rsid w:val="003C0AC8"/>
    <w:rsid w:val="003C1260"/>
    <w:rsid w:val="003C37FA"/>
    <w:rsid w:val="003C7D41"/>
    <w:rsid w:val="003D2115"/>
    <w:rsid w:val="003D3E10"/>
    <w:rsid w:val="003E29A3"/>
    <w:rsid w:val="003E5764"/>
    <w:rsid w:val="003E5A4E"/>
    <w:rsid w:val="003E6882"/>
    <w:rsid w:val="003F4BAA"/>
    <w:rsid w:val="003F4E01"/>
    <w:rsid w:val="003F75FE"/>
    <w:rsid w:val="00401389"/>
    <w:rsid w:val="004015E2"/>
    <w:rsid w:val="00404906"/>
    <w:rsid w:val="00404E7B"/>
    <w:rsid w:val="00406C70"/>
    <w:rsid w:val="00410274"/>
    <w:rsid w:val="0041158A"/>
    <w:rsid w:val="004142C9"/>
    <w:rsid w:val="00415127"/>
    <w:rsid w:val="00422D9F"/>
    <w:rsid w:val="0042346E"/>
    <w:rsid w:val="00430CB0"/>
    <w:rsid w:val="004337DE"/>
    <w:rsid w:val="00433ED8"/>
    <w:rsid w:val="004359F2"/>
    <w:rsid w:val="00435DAF"/>
    <w:rsid w:val="00441836"/>
    <w:rsid w:val="00441F4D"/>
    <w:rsid w:val="00442314"/>
    <w:rsid w:val="0044314A"/>
    <w:rsid w:val="00444FB7"/>
    <w:rsid w:val="004451F6"/>
    <w:rsid w:val="0044702D"/>
    <w:rsid w:val="00450B86"/>
    <w:rsid w:val="00452325"/>
    <w:rsid w:val="00452D65"/>
    <w:rsid w:val="00454B60"/>
    <w:rsid w:val="00455AA7"/>
    <w:rsid w:val="00457A70"/>
    <w:rsid w:val="00457F1E"/>
    <w:rsid w:val="00460764"/>
    <w:rsid w:val="00460B46"/>
    <w:rsid w:val="004617E0"/>
    <w:rsid w:val="00461936"/>
    <w:rsid w:val="0046447D"/>
    <w:rsid w:val="004648D4"/>
    <w:rsid w:val="00471408"/>
    <w:rsid w:val="0047254C"/>
    <w:rsid w:val="00472614"/>
    <w:rsid w:val="00472764"/>
    <w:rsid w:val="004734DA"/>
    <w:rsid w:val="004740AE"/>
    <w:rsid w:val="00476016"/>
    <w:rsid w:val="00476BC7"/>
    <w:rsid w:val="004809DC"/>
    <w:rsid w:val="00481687"/>
    <w:rsid w:val="00482A22"/>
    <w:rsid w:val="00482D7C"/>
    <w:rsid w:val="00483CD5"/>
    <w:rsid w:val="00484063"/>
    <w:rsid w:val="0048768D"/>
    <w:rsid w:val="004907E9"/>
    <w:rsid w:val="00490B49"/>
    <w:rsid w:val="0049117B"/>
    <w:rsid w:val="00494EE3"/>
    <w:rsid w:val="00497B54"/>
    <w:rsid w:val="00497C90"/>
    <w:rsid w:val="004A0174"/>
    <w:rsid w:val="004A082F"/>
    <w:rsid w:val="004A0C3C"/>
    <w:rsid w:val="004A13A7"/>
    <w:rsid w:val="004A16D8"/>
    <w:rsid w:val="004A215E"/>
    <w:rsid w:val="004A2E81"/>
    <w:rsid w:val="004A2F11"/>
    <w:rsid w:val="004A4980"/>
    <w:rsid w:val="004B04CC"/>
    <w:rsid w:val="004B1701"/>
    <w:rsid w:val="004B1F3E"/>
    <w:rsid w:val="004B2554"/>
    <w:rsid w:val="004C2E12"/>
    <w:rsid w:val="004C33CC"/>
    <w:rsid w:val="004C59DC"/>
    <w:rsid w:val="004C5F5E"/>
    <w:rsid w:val="004C787C"/>
    <w:rsid w:val="004D036B"/>
    <w:rsid w:val="004D049B"/>
    <w:rsid w:val="004D1735"/>
    <w:rsid w:val="004D3EA5"/>
    <w:rsid w:val="004D4920"/>
    <w:rsid w:val="004D5C4A"/>
    <w:rsid w:val="004D6968"/>
    <w:rsid w:val="004E03B3"/>
    <w:rsid w:val="004E346A"/>
    <w:rsid w:val="004F4633"/>
    <w:rsid w:val="004F48BD"/>
    <w:rsid w:val="004F52F4"/>
    <w:rsid w:val="00502E9E"/>
    <w:rsid w:val="00506925"/>
    <w:rsid w:val="00510F8D"/>
    <w:rsid w:val="0051210E"/>
    <w:rsid w:val="00514715"/>
    <w:rsid w:val="00517564"/>
    <w:rsid w:val="005200C4"/>
    <w:rsid w:val="00522B3D"/>
    <w:rsid w:val="00523005"/>
    <w:rsid w:val="0052348A"/>
    <w:rsid w:val="00523935"/>
    <w:rsid w:val="0052400C"/>
    <w:rsid w:val="0052500A"/>
    <w:rsid w:val="005260F4"/>
    <w:rsid w:val="00526D7F"/>
    <w:rsid w:val="0052784F"/>
    <w:rsid w:val="005314D1"/>
    <w:rsid w:val="005321A7"/>
    <w:rsid w:val="0053246B"/>
    <w:rsid w:val="00532F99"/>
    <w:rsid w:val="005332EC"/>
    <w:rsid w:val="005339DB"/>
    <w:rsid w:val="00533FD2"/>
    <w:rsid w:val="00534E33"/>
    <w:rsid w:val="00535533"/>
    <w:rsid w:val="00536CE7"/>
    <w:rsid w:val="00536D9D"/>
    <w:rsid w:val="0053757E"/>
    <w:rsid w:val="005476F5"/>
    <w:rsid w:val="00547D32"/>
    <w:rsid w:val="00547DC9"/>
    <w:rsid w:val="0055487A"/>
    <w:rsid w:val="00555054"/>
    <w:rsid w:val="00555922"/>
    <w:rsid w:val="00557714"/>
    <w:rsid w:val="005601C9"/>
    <w:rsid w:val="00560D51"/>
    <w:rsid w:val="005623C0"/>
    <w:rsid w:val="00563088"/>
    <w:rsid w:val="005644BD"/>
    <w:rsid w:val="00565E58"/>
    <w:rsid w:val="00571C86"/>
    <w:rsid w:val="00576583"/>
    <w:rsid w:val="00577829"/>
    <w:rsid w:val="0058066B"/>
    <w:rsid w:val="00582B25"/>
    <w:rsid w:val="00583EC1"/>
    <w:rsid w:val="00583FE6"/>
    <w:rsid w:val="00586960"/>
    <w:rsid w:val="0059533F"/>
    <w:rsid w:val="00597B0E"/>
    <w:rsid w:val="005A01B6"/>
    <w:rsid w:val="005A0331"/>
    <w:rsid w:val="005A05F3"/>
    <w:rsid w:val="005A09EA"/>
    <w:rsid w:val="005A3542"/>
    <w:rsid w:val="005A370A"/>
    <w:rsid w:val="005A7CEF"/>
    <w:rsid w:val="005A7D7C"/>
    <w:rsid w:val="005A7F15"/>
    <w:rsid w:val="005B26F4"/>
    <w:rsid w:val="005B50BA"/>
    <w:rsid w:val="005B541E"/>
    <w:rsid w:val="005B5FBA"/>
    <w:rsid w:val="005C0E74"/>
    <w:rsid w:val="005C0EE0"/>
    <w:rsid w:val="005C351E"/>
    <w:rsid w:val="005C3EEB"/>
    <w:rsid w:val="005D06A8"/>
    <w:rsid w:val="005D39D6"/>
    <w:rsid w:val="005D469E"/>
    <w:rsid w:val="005D4DF3"/>
    <w:rsid w:val="005D5407"/>
    <w:rsid w:val="005D5780"/>
    <w:rsid w:val="005D60B5"/>
    <w:rsid w:val="005D688B"/>
    <w:rsid w:val="005D6E54"/>
    <w:rsid w:val="005D73C4"/>
    <w:rsid w:val="005E1875"/>
    <w:rsid w:val="005E3C5A"/>
    <w:rsid w:val="005E3EA6"/>
    <w:rsid w:val="005E4E2A"/>
    <w:rsid w:val="005E5539"/>
    <w:rsid w:val="005E5B9E"/>
    <w:rsid w:val="005E6DF8"/>
    <w:rsid w:val="005F10FC"/>
    <w:rsid w:val="005F13A0"/>
    <w:rsid w:val="005F1E18"/>
    <w:rsid w:val="005F28C9"/>
    <w:rsid w:val="005F3662"/>
    <w:rsid w:val="005F62EB"/>
    <w:rsid w:val="00605361"/>
    <w:rsid w:val="006053BC"/>
    <w:rsid w:val="006071AB"/>
    <w:rsid w:val="00610352"/>
    <w:rsid w:val="00610BEC"/>
    <w:rsid w:val="00612210"/>
    <w:rsid w:val="0061313E"/>
    <w:rsid w:val="00614E1F"/>
    <w:rsid w:val="00615712"/>
    <w:rsid w:val="0061587B"/>
    <w:rsid w:val="0061590C"/>
    <w:rsid w:val="00617AC2"/>
    <w:rsid w:val="00621EAC"/>
    <w:rsid w:val="00623B41"/>
    <w:rsid w:val="00624BD5"/>
    <w:rsid w:val="00624DB0"/>
    <w:rsid w:val="0062531F"/>
    <w:rsid w:val="00625BE6"/>
    <w:rsid w:val="00627F81"/>
    <w:rsid w:val="00630029"/>
    <w:rsid w:val="00630446"/>
    <w:rsid w:val="0063194D"/>
    <w:rsid w:val="00631AAA"/>
    <w:rsid w:val="006349DA"/>
    <w:rsid w:val="006358A6"/>
    <w:rsid w:val="00637588"/>
    <w:rsid w:val="00641AE2"/>
    <w:rsid w:val="00641EB4"/>
    <w:rsid w:val="006424E6"/>
    <w:rsid w:val="00642A60"/>
    <w:rsid w:val="00643DBD"/>
    <w:rsid w:val="00652A97"/>
    <w:rsid w:val="006530E7"/>
    <w:rsid w:val="006540E0"/>
    <w:rsid w:val="006544BD"/>
    <w:rsid w:val="0065480D"/>
    <w:rsid w:val="00655806"/>
    <w:rsid w:val="0066074B"/>
    <w:rsid w:val="00661DD1"/>
    <w:rsid w:val="00661FB2"/>
    <w:rsid w:val="00662800"/>
    <w:rsid w:val="006636C1"/>
    <w:rsid w:val="006675C4"/>
    <w:rsid w:val="006718F8"/>
    <w:rsid w:val="00672D68"/>
    <w:rsid w:val="00674CAE"/>
    <w:rsid w:val="006758F2"/>
    <w:rsid w:val="006759BB"/>
    <w:rsid w:val="006774A6"/>
    <w:rsid w:val="00677BBD"/>
    <w:rsid w:val="00680151"/>
    <w:rsid w:val="00680949"/>
    <w:rsid w:val="00680A2F"/>
    <w:rsid w:val="006919BD"/>
    <w:rsid w:val="00692059"/>
    <w:rsid w:val="00692914"/>
    <w:rsid w:val="00694683"/>
    <w:rsid w:val="006946C3"/>
    <w:rsid w:val="00695001"/>
    <w:rsid w:val="006A119C"/>
    <w:rsid w:val="006A1AD7"/>
    <w:rsid w:val="006A1D24"/>
    <w:rsid w:val="006A2799"/>
    <w:rsid w:val="006A3A7C"/>
    <w:rsid w:val="006A45F3"/>
    <w:rsid w:val="006A4C2A"/>
    <w:rsid w:val="006A518B"/>
    <w:rsid w:val="006A7F59"/>
    <w:rsid w:val="006B1557"/>
    <w:rsid w:val="006B4271"/>
    <w:rsid w:val="006B46E3"/>
    <w:rsid w:val="006B6329"/>
    <w:rsid w:val="006B7981"/>
    <w:rsid w:val="006B7D52"/>
    <w:rsid w:val="006C07DB"/>
    <w:rsid w:val="006C0E09"/>
    <w:rsid w:val="006C138E"/>
    <w:rsid w:val="006C1510"/>
    <w:rsid w:val="006C4EC2"/>
    <w:rsid w:val="006C5635"/>
    <w:rsid w:val="006C5677"/>
    <w:rsid w:val="006C5C76"/>
    <w:rsid w:val="006C70CB"/>
    <w:rsid w:val="006C7AF9"/>
    <w:rsid w:val="006D0879"/>
    <w:rsid w:val="006D0B41"/>
    <w:rsid w:val="006D1AB1"/>
    <w:rsid w:val="006D1C25"/>
    <w:rsid w:val="006D2A33"/>
    <w:rsid w:val="006D2D15"/>
    <w:rsid w:val="006D343C"/>
    <w:rsid w:val="006D4681"/>
    <w:rsid w:val="006D54AB"/>
    <w:rsid w:val="006D7949"/>
    <w:rsid w:val="006E0BB8"/>
    <w:rsid w:val="006E2A25"/>
    <w:rsid w:val="006E2ECF"/>
    <w:rsid w:val="006E5394"/>
    <w:rsid w:val="006E7B50"/>
    <w:rsid w:val="006F0E44"/>
    <w:rsid w:val="006F0E4E"/>
    <w:rsid w:val="006F1C7E"/>
    <w:rsid w:val="006F2F23"/>
    <w:rsid w:val="006F2F40"/>
    <w:rsid w:val="006F3F51"/>
    <w:rsid w:val="006F4D73"/>
    <w:rsid w:val="006F6E6E"/>
    <w:rsid w:val="00700218"/>
    <w:rsid w:val="00704EFF"/>
    <w:rsid w:val="007067C0"/>
    <w:rsid w:val="007101C4"/>
    <w:rsid w:val="00712997"/>
    <w:rsid w:val="0071442C"/>
    <w:rsid w:val="00715A35"/>
    <w:rsid w:val="0071706B"/>
    <w:rsid w:val="007178B3"/>
    <w:rsid w:val="00721F8E"/>
    <w:rsid w:val="00722020"/>
    <w:rsid w:val="00722120"/>
    <w:rsid w:val="0072600C"/>
    <w:rsid w:val="00727C35"/>
    <w:rsid w:val="007359B3"/>
    <w:rsid w:val="00736D5F"/>
    <w:rsid w:val="00741373"/>
    <w:rsid w:val="007430BE"/>
    <w:rsid w:val="00743E34"/>
    <w:rsid w:val="00744246"/>
    <w:rsid w:val="0074571E"/>
    <w:rsid w:val="00750655"/>
    <w:rsid w:val="00750D48"/>
    <w:rsid w:val="0075371D"/>
    <w:rsid w:val="00754018"/>
    <w:rsid w:val="00756B96"/>
    <w:rsid w:val="00756E06"/>
    <w:rsid w:val="0076211D"/>
    <w:rsid w:val="00762149"/>
    <w:rsid w:val="0076425B"/>
    <w:rsid w:val="007652B1"/>
    <w:rsid w:val="00765C17"/>
    <w:rsid w:val="00770D1D"/>
    <w:rsid w:val="00772667"/>
    <w:rsid w:val="00772BCE"/>
    <w:rsid w:val="00772C18"/>
    <w:rsid w:val="00773774"/>
    <w:rsid w:val="007756D9"/>
    <w:rsid w:val="00777EC0"/>
    <w:rsid w:val="0078204F"/>
    <w:rsid w:val="00784896"/>
    <w:rsid w:val="00785338"/>
    <w:rsid w:val="007878B4"/>
    <w:rsid w:val="00787BA4"/>
    <w:rsid w:val="00791646"/>
    <w:rsid w:val="007924CE"/>
    <w:rsid w:val="00794082"/>
    <w:rsid w:val="007946C6"/>
    <w:rsid w:val="00794A59"/>
    <w:rsid w:val="00796204"/>
    <w:rsid w:val="00796B20"/>
    <w:rsid w:val="00797573"/>
    <w:rsid w:val="007A0F3F"/>
    <w:rsid w:val="007A10AE"/>
    <w:rsid w:val="007A66B1"/>
    <w:rsid w:val="007A6CD2"/>
    <w:rsid w:val="007A70E2"/>
    <w:rsid w:val="007B0875"/>
    <w:rsid w:val="007B105F"/>
    <w:rsid w:val="007B1559"/>
    <w:rsid w:val="007B2680"/>
    <w:rsid w:val="007B327B"/>
    <w:rsid w:val="007B7AC2"/>
    <w:rsid w:val="007B7FD9"/>
    <w:rsid w:val="007C0505"/>
    <w:rsid w:val="007C07BC"/>
    <w:rsid w:val="007C30F0"/>
    <w:rsid w:val="007C3928"/>
    <w:rsid w:val="007C5736"/>
    <w:rsid w:val="007C705E"/>
    <w:rsid w:val="007C7DEE"/>
    <w:rsid w:val="007D05AE"/>
    <w:rsid w:val="007D0A42"/>
    <w:rsid w:val="007D29D1"/>
    <w:rsid w:val="007D343A"/>
    <w:rsid w:val="007D3D70"/>
    <w:rsid w:val="007D4518"/>
    <w:rsid w:val="007D6051"/>
    <w:rsid w:val="007D7130"/>
    <w:rsid w:val="007D7778"/>
    <w:rsid w:val="007D7C0A"/>
    <w:rsid w:val="007E0493"/>
    <w:rsid w:val="007E1193"/>
    <w:rsid w:val="007E6562"/>
    <w:rsid w:val="007E6801"/>
    <w:rsid w:val="007E7F52"/>
    <w:rsid w:val="007F0244"/>
    <w:rsid w:val="007F1344"/>
    <w:rsid w:val="007F3F4E"/>
    <w:rsid w:val="007F5E8C"/>
    <w:rsid w:val="007F62FE"/>
    <w:rsid w:val="007F6C67"/>
    <w:rsid w:val="007F77D8"/>
    <w:rsid w:val="00801582"/>
    <w:rsid w:val="008039A6"/>
    <w:rsid w:val="00805322"/>
    <w:rsid w:val="00805ECC"/>
    <w:rsid w:val="008063C7"/>
    <w:rsid w:val="008064EB"/>
    <w:rsid w:val="0081070D"/>
    <w:rsid w:val="00811E87"/>
    <w:rsid w:val="0081212B"/>
    <w:rsid w:val="00813A60"/>
    <w:rsid w:val="00817631"/>
    <w:rsid w:val="008201B9"/>
    <w:rsid w:val="008213FF"/>
    <w:rsid w:val="0082249D"/>
    <w:rsid w:val="0082462B"/>
    <w:rsid w:val="0082510F"/>
    <w:rsid w:val="008279FE"/>
    <w:rsid w:val="00830795"/>
    <w:rsid w:val="00835314"/>
    <w:rsid w:val="00835DB0"/>
    <w:rsid w:val="00841144"/>
    <w:rsid w:val="00841BE2"/>
    <w:rsid w:val="00842016"/>
    <w:rsid w:val="008438D3"/>
    <w:rsid w:val="00844467"/>
    <w:rsid w:val="00846034"/>
    <w:rsid w:val="00847201"/>
    <w:rsid w:val="008477AB"/>
    <w:rsid w:val="00847EF2"/>
    <w:rsid w:val="00850A28"/>
    <w:rsid w:val="008517A4"/>
    <w:rsid w:val="00851FB9"/>
    <w:rsid w:val="0085243E"/>
    <w:rsid w:val="00852D19"/>
    <w:rsid w:val="00853134"/>
    <w:rsid w:val="008537D0"/>
    <w:rsid w:val="0085525B"/>
    <w:rsid w:val="0085675F"/>
    <w:rsid w:val="00857076"/>
    <w:rsid w:val="00857F2A"/>
    <w:rsid w:val="0086163E"/>
    <w:rsid w:val="00864D25"/>
    <w:rsid w:val="00871F30"/>
    <w:rsid w:val="00872165"/>
    <w:rsid w:val="0087390E"/>
    <w:rsid w:val="0087532F"/>
    <w:rsid w:val="008764D5"/>
    <w:rsid w:val="008818FB"/>
    <w:rsid w:val="00881B57"/>
    <w:rsid w:val="0088202A"/>
    <w:rsid w:val="0088390C"/>
    <w:rsid w:val="008839AF"/>
    <w:rsid w:val="00883F26"/>
    <w:rsid w:val="00884F98"/>
    <w:rsid w:val="008858B7"/>
    <w:rsid w:val="00886701"/>
    <w:rsid w:val="008926E9"/>
    <w:rsid w:val="00893D0E"/>
    <w:rsid w:val="00893F58"/>
    <w:rsid w:val="008943EC"/>
    <w:rsid w:val="008948B0"/>
    <w:rsid w:val="00895451"/>
    <w:rsid w:val="0089563E"/>
    <w:rsid w:val="008A0E22"/>
    <w:rsid w:val="008A3A16"/>
    <w:rsid w:val="008A65B9"/>
    <w:rsid w:val="008A6B22"/>
    <w:rsid w:val="008A6BC1"/>
    <w:rsid w:val="008B0397"/>
    <w:rsid w:val="008B0C2F"/>
    <w:rsid w:val="008B2606"/>
    <w:rsid w:val="008B2C6D"/>
    <w:rsid w:val="008B5887"/>
    <w:rsid w:val="008C13D3"/>
    <w:rsid w:val="008C3001"/>
    <w:rsid w:val="008C6480"/>
    <w:rsid w:val="008C69DA"/>
    <w:rsid w:val="008C7AC4"/>
    <w:rsid w:val="008D0017"/>
    <w:rsid w:val="008D0D72"/>
    <w:rsid w:val="008D4D2C"/>
    <w:rsid w:val="008D5392"/>
    <w:rsid w:val="008D5FA4"/>
    <w:rsid w:val="008D6CEB"/>
    <w:rsid w:val="008E0A28"/>
    <w:rsid w:val="008E342B"/>
    <w:rsid w:val="008E3B15"/>
    <w:rsid w:val="008E3FA2"/>
    <w:rsid w:val="008E4A27"/>
    <w:rsid w:val="008E4AD8"/>
    <w:rsid w:val="008E4CE4"/>
    <w:rsid w:val="008E7684"/>
    <w:rsid w:val="008F08E2"/>
    <w:rsid w:val="008F1837"/>
    <w:rsid w:val="008F32A9"/>
    <w:rsid w:val="008F465B"/>
    <w:rsid w:val="008F5B82"/>
    <w:rsid w:val="008F5FCE"/>
    <w:rsid w:val="008F6A71"/>
    <w:rsid w:val="008F6A74"/>
    <w:rsid w:val="008F7759"/>
    <w:rsid w:val="008F79FC"/>
    <w:rsid w:val="008F7C78"/>
    <w:rsid w:val="0090230E"/>
    <w:rsid w:val="00902398"/>
    <w:rsid w:val="009026CF"/>
    <w:rsid w:val="0090674B"/>
    <w:rsid w:val="009112B4"/>
    <w:rsid w:val="0091167B"/>
    <w:rsid w:val="009117D7"/>
    <w:rsid w:val="00911913"/>
    <w:rsid w:val="00911D6C"/>
    <w:rsid w:val="00912DE0"/>
    <w:rsid w:val="00913349"/>
    <w:rsid w:val="009162A3"/>
    <w:rsid w:val="00916F68"/>
    <w:rsid w:val="0092064F"/>
    <w:rsid w:val="00922575"/>
    <w:rsid w:val="00924250"/>
    <w:rsid w:val="00924981"/>
    <w:rsid w:val="00925404"/>
    <w:rsid w:val="009276D1"/>
    <w:rsid w:val="00931E44"/>
    <w:rsid w:val="009329AD"/>
    <w:rsid w:val="009335BA"/>
    <w:rsid w:val="009347E8"/>
    <w:rsid w:val="0093487B"/>
    <w:rsid w:val="009364D3"/>
    <w:rsid w:val="009408C3"/>
    <w:rsid w:val="009411FF"/>
    <w:rsid w:val="0094631B"/>
    <w:rsid w:val="009465BE"/>
    <w:rsid w:val="009479BE"/>
    <w:rsid w:val="00955AE0"/>
    <w:rsid w:val="00960FE5"/>
    <w:rsid w:val="00961245"/>
    <w:rsid w:val="009643A9"/>
    <w:rsid w:val="00964C17"/>
    <w:rsid w:val="00966986"/>
    <w:rsid w:val="00966DD5"/>
    <w:rsid w:val="00967920"/>
    <w:rsid w:val="0097080E"/>
    <w:rsid w:val="0097399F"/>
    <w:rsid w:val="00974A44"/>
    <w:rsid w:val="00984025"/>
    <w:rsid w:val="00984A53"/>
    <w:rsid w:val="00984F5F"/>
    <w:rsid w:val="00993E91"/>
    <w:rsid w:val="009943B2"/>
    <w:rsid w:val="00995E79"/>
    <w:rsid w:val="009A0C68"/>
    <w:rsid w:val="009A1186"/>
    <w:rsid w:val="009A20B8"/>
    <w:rsid w:val="009A2422"/>
    <w:rsid w:val="009A2E49"/>
    <w:rsid w:val="009A303E"/>
    <w:rsid w:val="009A4D94"/>
    <w:rsid w:val="009B198F"/>
    <w:rsid w:val="009B1CF6"/>
    <w:rsid w:val="009B23AE"/>
    <w:rsid w:val="009C0920"/>
    <w:rsid w:val="009C1A55"/>
    <w:rsid w:val="009C2D46"/>
    <w:rsid w:val="009C33DF"/>
    <w:rsid w:val="009C4BAC"/>
    <w:rsid w:val="009C6A73"/>
    <w:rsid w:val="009C767C"/>
    <w:rsid w:val="009C7CBA"/>
    <w:rsid w:val="009C7CEA"/>
    <w:rsid w:val="009D1B6E"/>
    <w:rsid w:val="009D1B7F"/>
    <w:rsid w:val="009D2517"/>
    <w:rsid w:val="009D3C80"/>
    <w:rsid w:val="009D45C1"/>
    <w:rsid w:val="009D4625"/>
    <w:rsid w:val="009D4D2F"/>
    <w:rsid w:val="009D7DEE"/>
    <w:rsid w:val="009E05C3"/>
    <w:rsid w:val="009E08D9"/>
    <w:rsid w:val="009E1FDC"/>
    <w:rsid w:val="009E35DD"/>
    <w:rsid w:val="009E37DB"/>
    <w:rsid w:val="009E3FCA"/>
    <w:rsid w:val="009E5810"/>
    <w:rsid w:val="009E7527"/>
    <w:rsid w:val="009E7A0A"/>
    <w:rsid w:val="009F07EF"/>
    <w:rsid w:val="009F2044"/>
    <w:rsid w:val="009F22F8"/>
    <w:rsid w:val="009F26A0"/>
    <w:rsid w:val="009F465C"/>
    <w:rsid w:val="009F5036"/>
    <w:rsid w:val="009F6567"/>
    <w:rsid w:val="009F7DEF"/>
    <w:rsid w:val="00A017C7"/>
    <w:rsid w:val="00A02716"/>
    <w:rsid w:val="00A030B6"/>
    <w:rsid w:val="00A030D2"/>
    <w:rsid w:val="00A0357E"/>
    <w:rsid w:val="00A0375A"/>
    <w:rsid w:val="00A0386D"/>
    <w:rsid w:val="00A04487"/>
    <w:rsid w:val="00A04565"/>
    <w:rsid w:val="00A0720E"/>
    <w:rsid w:val="00A07512"/>
    <w:rsid w:val="00A07DE3"/>
    <w:rsid w:val="00A11AE2"/>
    <w:rsid w:val="00A13602"/>
    <w:rsid w:val="00A1570F"/>
    <w:rsid w:val="00A16360"/>
    <w:rsid w:val="00A20182"/>
    <w:rsid w:val="00A21BDB"/>
    <w:rsid w:val="00A2274E"/>
    <w:rsid w:val="00A243DE"/>
    <w:rsid w:val="00A25C3B"/>
    <w:rsid w:val="00A26C0A"/>
    <w:rsid w:val="00A33F37"/>
    <w:rsid w:val="00A3467F"/>
    <w:rsid w:val="00A34A28"/>
    <w:rsid w:val="00A36BF3"/>
    <w:rsid w:val="00A41077"/>
    <w:rsid w:val="00A428B0"/>
    <w:rsid w:val="00A43495"/>
    <w:rsid w:val="00A435F6"/>
    <w:rsid w:val="00A462EC"/>
    <w:rsid w:val="00A507B2"/>
    <w:rsid w:val="00A5164A"/>
    <w:rsid w:val="00A5208E"/>
    <w:rsid w:val="00A532B9"/>
    <w:rsid w:val="00A55394"/>
    <w:rsid w:val="00A601D7"/>
    <w:rsid w:val="00A622BE"/>
    <w:rsid w:val="00A635C0"/>
    <w:rsid w:val="00A6415B"/>
    <w:rsid w:val="00A65142"/>
    <w:rsid w:val="00A65493"/>
    <w:rsid w:val="00A71D85"/>
    <w:rsid w:val="00A73CE6"/>
    <w:rsid w:val="00A7422A"/>
    <w:rsid w:val="00A751BF"/>
    <w:rsid w:val="00A75333"/>
    <w:rsid w:val="00A812F2"/>
    <w:rsid w:val="00A81CC7"/>
    <w:rsid w:val="00A82F99"/>
    <w:rsid w:val="00A831CA"/>
    <w:rsid w:val="00A85E57"/>
    <w:rsid w:val="00A870F6"/>
    <w:rsid w:val="00A91867"/>
    <w:rsid w:val="00A92500"/>
    <w:rsid w:val="00A927FE"/>
    <w:rsid w:val="00A937E5"/>
    <w:rsid w:val="00A9440E"/>
    <w:rsid w:val="00A94F1A"/>
    <w:rsid w:val="00A9518D"/>
    <w:rsid w:val="00A96B2A"/>
    <w:rsid w:val="00A97643"/>
    <w:rsid w:val="00AA3E34"/>
    <w:rsid w:val="00AA4F1F"/>
    <w:rsid w:val="00AA666D"/>
    <w:rsid w:val="00AA798B"/>
    <w:rsid w:val="00AB3D81"/>
    <w:rsid w:val="00AB47B1"/>
    <w:rsid w:val="00AB4C9C"/>
    <w:rsid w:val="00AB69C8"/>
    <w:rsid w:val="00AC10E8"/>
    <w:rsid w:val="00AC11A5"/>
    <w:rsid w:val="00AC1428"/>
    <w:rsid w:val="00AC17B7"/>
    <w:rsid w:val="00AC26E8"/>
    <w:rsid w:val="00AC33DC"/>
    <w:rsid w:val="00AC4875"/>
    <w:rsid w:val="00AC57FF"/>
    <w:rsid w:val="00AC786F"/>
    <w:rsid w:val="00AD0892"/>
    <w:rsid w:val="00AD1854"/>
    <w:rsid w:val="00AD28C9"/>
    <w:rsid w:val="00AD2FED"/>
    <w:rsid w:val="00AD4ECF"/>
    <w:rsid w:val="00AD655F"/>
    <w:rsid w:val="00AD6C9D"/>
    <w:rsid w:val="00AD6D6D"/>
    <w:rsid w:val="00AD7555"/>
    <w:rsid w:val="00AE17A4"/>
    <w:rsid w:val="00AE2B75"/>
    <w:rsid w:val="00AE428D"/>
    <w:rsid w:val="00AE43F2"/>
    <w:rsid w:val="00AE4E5C"/>
    <w:rsid w:val="00AE5598"/>
    <w:rsid w:val="00AE6611"/>
    <w:rsid w:val="00AE6D04"/>
    <w:rsid w:val="00AE758A"/>
    <w:rsid w:val="00AF08CE"/>
    <w:rsid w:val="00AF399C"/>
    <w:rsid w:val="00AF5AE7"/>
    <w:rsid w:val="00AF7227"/>
    <w:rsid w:val="00AF7CCF"/>
    <w:rsid w:val="00B040C9"/>
    <w:rsid w:val="00B04559"/>
    <w:rsid w:val="00B046F6"/>
    <w:rsid w:val="00B11569"/>
    <w:rsid w:val="00B11E50"/>
    <w:rsid w:val="00B13B5D"/>
    <w:rsid w:val="00B14218"/>
    <w:rsid w:val="00B15798"/>
    <w:rsid w:val="00B16696"/>
    <w:rsid w:val="00B16B08"/>
    <w:rsid w:val="00B17A29"/>
    <w:rsid w:val="00B20B66"/>
    <w:rsid w:val="00B20F19"/>
    <w:rsid w:val="00B21B47"/>
    <w:rsid w:val="00B22073"/>
    <w:rsid w:val="00B27FB7"/>
    <w:rsid w:val="00B303EC"/>
    <w:rsid w:val="00B3400A"/>
    <w:rsid w:val="00B3539F"/>
    <w:rsid w:val="00B372A0"/>
    <w:rsid w:val="00B40A6C"/>
    <w:rsid w:val="00B41235"/>
    <w:rsid w:val="00B41F6F"/>
    <w:rsid w:val="00B420D5"/>
    <w:rsid w:val="00B4322A"/>
    <w:rsid w:val="00B43576"/>
    <w:rsid w:val="00B473DD"/>
    <w:rsid w:val="00B47FC3"/>
    <w:rsid w:val="00B5171F"/>
    <w:rsid w:val="00B51CE8"/>
    <w:rsid w:val="00B52919"/>
    <w:rsid w:val="00B55C09"/>
    <w:rsid w:val="00B564D1"/>
    <w:rsid w:val="00B56BFA"/>
    <w:rsid w:val="00B5722B"/>
    <w:rsid w:val="00B572E0"/>
    <w:rsid w:val="00B60FA5"/>
    <w:rsid w:val="00B61C7B"/>
    <w:rsid w:val="00B61E21"/>
    <w:rsid w:val="00B64B08"/>
    <w:rsid w:val="00B656A6"/>
    <w:rsid w:val="00B6668D"/>
    <w:rsid w:val="00B72D83"/>
    <w:rsid w:val="00B730AC"/>
    <w:rsid w:val="00B7552C"/>
    <w:rsid w:val="00B80C58"/>
    <w:rsid w:val="00B816DE"/>
    <w:rsid w:val="00B83659"/>
    <w:rsid w:val="00B85BD8"/>
    <w:rsid w:val="00B85E62"/>
    <w:rsid w:val="00B86391"/>
    <w:rsid w:val="00B90428"/>
    <w:rsid w:val="00B92195"/>
    <w:rsid w:val="00B93549"/>
    <w:rsid w:val="00B96C59"/>
    <w:rsid w:val="00B975FE"/>
    <w:rsid w:val="00B9793D"/>
    <w:rsid w:val="00B979C5"/>
    <w:rsid w:val="00B97B5A"/>
    <w:rsid w:val="00BA01AE"/>
    <w:rsid w:val="00BA0307"/>
    <w:rsid w:val="00BA3896"/>
    <w:rsid w:val="00BA4516"/>
    <w:rsid w:val="00BA63BB"/>
    <w:rsid w:val="00BA6C8E"/>
    <w:rsid w:val="00BA6EEB"/>
    <w:rsid w:val="00BB075E"/>
    <w:rsid w:val="00BB08BA"/>
    <w:rsid w:val="00BB28D7"/>
    <w:rsid w:val="00BB3C29"/>
    <w:rsid w:val="00BB5576"/>
    <w:rsid w:val="00BB5D66"/>
    <w:rsid w:val="00BC102C"/>
    <w:rsid w:val="00BC245A"/>
    <w:rsid w:val="00BC3ED9"/>
    <w:rsid w:val="00BC6FF6"/>
    <w:rsid w:val="00BD0DE3"/>
    <w:rsid w:val="00BD1962"/>
    <w:rsid w:val="00BD45F1"/>
    <w:rsid w:val="00BD488B"/>
    <w:rsid w:val="00BD6247"/>
    <w:rsid w:val="00BD7D33"/>
    <w:rsid w:val="00BE1FA9"/>
    <w:rsid w:val="00BE2BD6"/>
    <w:rsid w:val="00BE3523"/>
    <w:rsid w:val="00BE35C7"/>
    <w:rsid w:val="00BE36AE"/>
    <w:rsid w:val="00BE3B73"/>
    <w:rsid w:val="00BF2EA9"/>
    <w:rsid w:val="00BF318F"/>
    <w:rsid w:val="00BF38C9"/>
    <w:rsid w:val="00BF4FFC"/>
    <w:rsid w:val="00BF615B"/>
    <w:rsid w:val="00BF7822"/>
    <w:rsid w:val="00BF7F9A"/>
    <w:rsid w:val="00C0115A"/>
    <w:rsid w:val="00C047E6"/>
    <w:rsid w:val="00C06424"/>
    <w:rsid w:val="00C07665"/>
    <w:rsid w:val="00C07D77"/>
    <w:rsid w:val="00C14B92"/>
    <w:rsid w:val="00C17BFB"/>
    <w:rsid w:val="00C23496"/>
    <w:rsid w:val="00C23BE4"/>
    <w:rsid w:val="00C25BC3"/>
    <w:rsid w:val="00C25C9A"/>
    <w:rsid w:val="00C2754F"/>
    <w:rsid w:val="00C34BC3"/>
    <w:rsid w:val="00C36EFA"/>
    <w:rsid w:val="00C37DAA"/>
    <w:rsid w:val="00C40175"/>
    <w:rsid w:val="00C4419B"/>
    <w:rsid w:val="00C447DF"/>
    <w:rsid w:val="00C44CE1"/>
    <w:rsid w:val="00C46EE7"/>
    <w:rsid w:val="00C51959"/>
    <w:rsid w:val="00C51DAD"/>
    <w:rsid w:val="00C531E6"/>
    <w:rsid w:val="00C540CE"/>
    <w:rsid w:val="00C569F2"/>
    <w:rsid w:val="00C572BE"/>
    <w:rsid w:val="00C627AC"/>
    <w:rsid w:val="00C63780"/>
    <w:rsid w:val="00C63AF7"/>
    <w:rsid w:val="00C63F9B"/>
    <w:rsid w:val="00C644AF"/>
    <w:rsid w:val="00C65038"/>
    <w:rsid w:val="00C65B8C"/>
    <w:rsid w:val="00C65F5E"/>
    <w:rsid w:val="00C67097"/>
    <w:rsid w:val="00C71F39"/>
    <w:rsid w:val="00C7413E"/>
    <w:rsid w:val="00C80D6A"/>
    <w:rsid w:val="00C81277"/>
    <w:rsid w:val="00C812A5"/>
    <w:rsid w:val="00C83023"/>
    <w:rsid w:val="00C8352D"/>
    <w:rsid w:val="00C8511F"/>
    <w:rsid w:val="00C900FB"/>
    <w:rsid w:val="00C905CA"/>
    <w:rsid w:val="00C92FDB"/>
    <w:rsid w:val="00C934DB"/>
    <w:rsid w:val="00C93765"/>
    <w:rsid w:val="00C94F94"/>
    <w:rsid w:val="00C96124"/>
    <w:rsid w:val="00CA3320"/>
    <w:rsid w:val="00CA4619"/>
    <w:rsid w:val="00CA4B29"/>
    <w:rsid w:val="00CA7F05"/>
    <w:rsid w:val="00CB3F8B"/>
    <w:rsid w:val="00CB4664"/>
    <w:rsid w:val="00CC0874"/>
    <w:rsid w:val="00CC3F3B"/>
    <w:rsid w:val="00CC795D"/>
    <w:rsid w:val="00CC7E2C"/>
    <w:rsid w:val="00CD2CCE"/>
    <w:rsid w:val="00CD4A7C"/>
    <w:rsid w:val="00CD4DC7"/>
    <w:rsid w:val="00CD64FC"/>
    <w:rsid w:val="00CD6A45"/>
    <w:rsid w:val="00CE1CA9"/>
    <w:rsid w:val="00CE34A9"/>
    <w:rsid w:val="00CE4B0B"/>
    <w:rsid w:val="00CE6835"/>
    <w:rsid w:val="00CE6FC0"/>
    <w:rsid w:val="00CF15B3"/>
    <w:rsid w:val="00CF27BA"/>
    <w:rsid w:val="00CF2AE9"/>
    <w:rsid w:val="00CF56C5"/>
    <w:rsid w:val="00CF68E4"/>
    <w:rsid w:val="00D003E0"/>
    <w:rsid w:val="00D01527"/>
    <w:rsid w:val="00D01D24"/>
    <w:rsid w:val="00D0383D"/>
    <w:rsid w:val="00D04A0B"/>
    <w:rsid w:val="00D04D9F"/>
    <w:rsid w:val="00D07100"/>
    <w:rsid w:val="00D108C5"/>
    <w:rsid w:val="00D117E4"/>
    <w:rsid w:val="00D119EA"/>
    <w:rsid w:val="00D1288A"/>
    <w:rsid w:val="00D1409F"/>
    <w:rsid w:val="00D14202"/>
    <w:rsid w:val="00D15DB9"/>
    <w:rsid w:val="00D16F0D"/>
    <w:rsid w:val="00D179CD"/>
    <w:rsid w:val="00D20002"/>
    <w:rsid w:val="00D20B04"/>
    <w:rsid w:val="00D22F5B"/>
    <w:rsid w:val="00D23B29"/>
    <w:rsid w:val="00D24050"/>
    <w:rsid w:val="00D248A7"/>
    <w:rsid w:val="00D2497B"/>
    <w:rsid w:val="00D260DC"/>
    <w:rsid w:val="00D26AA3"/>
    <w:rsid w:val="00D27931"/>
    <w:rsid w:val="00D32E4A"/>
    <w:rsid w:val="00D34C36"/>
    <w:rsid w:val="00D34E18"/>
    <w:rsid w:val="00D3511A"/>
    <w:rsid w:val="00D356C1"/>
    <w:rsid w:val="00D37C58"/>
    <w:rsid w:val="00D37EB6"/>
    <w:rsid w:val="00D4589F"/>
    <w:rsid w:val="00D479B8"/>
    <w:rsid w:val="00D47CD4"/>
    <w:rsid w:val="00D56CB5"/>
    <w:rsid w:val="00D61203"/>
    <w:rsid w:val="00D61558"/>
    <w:rsid w:val="00D6165A"/>
    <w:rsid w:val="00D664C1"/>
    <w:rsid w:val="00D70B33"/>
    <w:rsid w:val="00D714CF"/>
    <w:rsid w:val="00D719BF"/>
    <w:rsid w:val="00D77387"/>
    <w:rsid w:val="00D8022F"/>
    <w:rsid w:val="00D82626"/>
    <w:rsid w:val="00D836C7"/>
    <w:rsid w:val="00D85A7B"/>
    <w:rsid w:val="00D91374"/>
    <w:rsid w:val="00D91CAC"/>
    <w:rsid w:val="00D91CF1"/>
    <w:rsid w:val="00D9377E"/>
    <w:rsid w:val="00D94E99"/>
    <w:rsid w:val="00D953A9"/>
    <w:rsid w:val="00D95EC1"/>
    <w:rsid w:val="00D97BDD"/>
    <w:rsid w:val="00D97DF9"/>
    <w:rsid w:val="00DA1634"/>
    <w:rsid w:val="00DA5C95"/>
    <w:rsid w:val="00DB0F3D"/>
    <w:rsid w:val="00DB1CAE"/>
    <w:rsid w:val="00DB312A"/>
    <w:rsid w:val="00DB33B7"/>
    <w:rsid w:val="00DB349E"/>
    <w:rsid w:val="00DB3F8D"/>
    <w:rsid w:val="00DB4E2E"/>
    <w:rsid w:val="00DB69A8"/>
    <w:rsid w:val="00DB7BC1"/>
    <w:rsid w:val="00DC0C1E"/>
    <w:rsid w:val="00DC162E"/>
    <w:rsid w:val="00DC28F6"/>
    <w:rsid w:val="00DC4C25"/>
    <w:rsid w:val="00DC59E0"/>
    <w:rsid w:val="00DC78A8"/>
    <w:rsid w:val="00DD040C"/>
    <w:rsid w:val="00DD0E07"/>
    <w:rsid w:val="00DD214C"/>
    <w:rsid w:val="00DD3DC9"/>
    <w:rsid w:val="00DD7253"/>
    <w:rsid w:val="00DE016D"/>
    <w:rsid w:val="00DE06BC"/>
    <w:rsid w:val="00DE3C13"/>
    <w:rsid w:val="00DE3C71"/>
    <w:rsid w:val="00DE6416"/>
    <w:rsid w:val="00DE6DF5"/>
    <w:rsid w:val="00DE6F50"/>
    <w:rsid w:val="00DE6FDE"/>
    <w:rsid w:val="00DE72AC"/>
    <w:rsid w:val="00DE7D98"/>
    <w:rsid w:val="00DF05AD"/>
    <w:rsid w:val="00DF3E49"/>
    <w:rsid w:val="00DF4C7B"/>
    <w:rsid w:val="00DF5EB4"/>
    <w:rsid w:val="00DF67D2"/>
    <w:rsid w:val="00DF70DD"/>
    <w:rsid w:val="00E039D3"/>
    <w:rsid w:val="00E05D4B"/>
    <w:rsid w:val="00E07254"/>
    <w:rsid w:val="00E14C4D"/>
    <w:rsid w:val="00E14D69"/>
    <w:rsid w:val="00E15484"/>
    <w:rsid w:val="00E21254"/>
    <w:rsid w:val="00E21689"/>
    <w:rsid w:val="00E2245D"/>
    <w:rsid w:val="00E246F3"/>
    <w:rsid w:val="00E2479D"/>
    <w:rsid w:val="00E277A3"/>
    <w:rsid w:val="00E318FB"/>
    <w:rsid w:val="00E32FF0"/>
    <w:rsid w:val="00E34A9A"/>
    <w:rsid w:val="00E37F35"/>
    <w:rsid w:val="00E4010D"/>
    <w:rsid w:val="00E405A9"/>
    <w:rsid w:val="00E42B6B"/>
    <w:rsid w:val="00E4682C"/>
    <w:rsid w:val="00E476D9"/>
    <w:rsid w:val="00E50A3F"/>
    <w:rsid w:val="00E51236"/>
    <w:rsid w:val="00E51F7D"/>
    <w:rsid w:val="00E55154"/>
    <w:rsid w:val="00E55710"/>
    <w:rsid w:val="00E56016"/>
    <w:rsid w:val="00E612FC"/>
    <w:rsid w:val="00E616E4"/>
    <w:rsid w:val="00E62AD5"/>
    <w:rsid w:val="00E63DA1"/>
    <w:rsid w:val="00E6439B"/>
    <w:rsid w:val="00E6477E"/>
    <w:rsid w:val="00E71913"/>
    <w:rsid w:val="00E72ED9"/>
    <w:rsid w:val="00E745D8"/>
    <w:rsid w:val="00E76B7D"/>
    <w:rsid w:val="00E82193"/>
    <w:rsid w:val="00E82910"/>
    <w:rsid w:val="00E82BAD"/>
    <w:rsid w:val="00E8431A"/>
    <w:rsid w:val="00E8583D"/>
    <w:rsid w:val="00E86725"/>
    <w:rsid w:val="00E87931"/>
    <w:rsid w:val="00E90C70"/>
    <w:rsid w:val="00E92C06"/>
    <w:rsid w:val="00E93A4D"/>
    <w:rsid w:val="00E94998"/>
    <w:rsid w:val="00E95F9D"/>
    <w:rsid w:val="00EA064B"/>
    <w:rsid w:val="00EA09E8"/>
    <w:rsid w:val="00EA3370"/>
    <w:rsid w:val="00EA5B00"/>
    <w:rsid w:val="00EB05F3"/>
    <w:rsid w:val="00EB181E"/>
    <w:rsid w:val="00EB1F4A"/>
    <w:rsid w:val="00EB2B74"/>
    <w:rsid w:val="00EB2FBA"/>
    <w:rsid w:val="00EB71CC"/>
    <w:rsid w:val="00EB7B92"/>
    <w:rsid w:val="00EB7F24"/>
    <w:rsid w:val="00EC002D"/>
    <w:rsid w:val="00EC0AC7"/>
    <w:rsid w:val="00EC67BE"/>
    <w:rsid w:val="00EC6EDF"/>
    <w:rsid w:val="00EC7E8C"/>
    <w:rsid w:val="00ED1454"/>
    <w:rsid w:val="00ED23C4"/>
    <w:rsid w:val="00ED335C"/>
    <w:rsid w:val="00ED39BD"/>
    <w:rsid w:val="00ED3AA2"/>
    <w:rsid w:val="00ED452E"/>
    <w:rsid w:val="00ED5086"/>
    <w:rsid w:val="00ED57C3"/>
    <w:rsid w:val="00EE5C1B"/>
    <w:rsid w:val="00EE71B1"/>
    <w:rsid w:val="00EF167D"/>
    <w:rsid w:val="00EF3351"/>
    <w:rsid w:val="00EF5DC4"/>
    <w:rsid w:val="00F00600"/>
    <w:rsid w:val="00F00EBF"/>
    <w:rsid w:val="00F01634"/>
    <w:rsid w:val="00F01C60"/>
    <w:rsid w:val="00F031DD"/>
    <w:rsid w:val="00F03694"/>
    <w:rsid w:val="00F0384B"/>
    <w:rsid w:val="00F05662"/>
    <w:rsid w:val="00F06232"/>
    <w:rsid w:val="00F108DB"/>
    <w:rsid w:val="00F113DF"/>
    <w:rsid w:val="00F15AEF"/>
    <w:rsid w:val="00F16124"/>
    <w:rsid w:val="00F167FB"/>
    <w:rsid w:val="00F172EA"/>
    <w:rsid w:val="00F202F1"/>
    <w:rsid w:val="00F20E58"/>
    <w:rsid w:val="00F215EF"/>
    <w:rsid w:val="00F24396"/>
    <w:rsid w:val="00F24479"/>
    <w:rsid w:val="00F24559"/>
    <w:rsid w:val="00F249F2"/>
    <w:rsid w:val="00F27DE1"/>
    <w:rsid w:val="00F30599"/>
    <w:rsid w:val="00F32E94"/>
    <w:rsid w:val="00F34149"/>
    <w:rsid w:val="00F34B8B"/>
    <w:rsid w:val="00F3502B"/>
    <w:rsid w:val="00F374C7"/>
    <w:rsid w:val="00F4074C"/>
    <w:rsid w:val="00F419A3"/>
    <w:rsid w:val="00F4538D"/>
    <w:rsid w:val="00F5374D"/>
    <w:rsid w:val="00F5520A"/>
    <w:rsid w:val="00F5557E"/>
    <w:rsid w:val="00F5648C"/>
    <w:rsid w:val="00F650FE"/>
    <w:rsid w:val="00F655F4"/>
    <w:rsid w:val="00F658C2"/>
    <w:rsid w:val="00F732FB"/>
    <w:rsid w:val="00F75E4E"/>
    <w:rsid w:val="00F76D28"/>
    <w:rsid w:val="00F776D4"/>
    <w:rsid w:val="00F778CC"/>
    <w:rsid w:val="00F80755"/>
    <w:rsid w:val="00F80D15"/>
    <w:rsid w:val="00F83244"/>
    <w:rsid w:val="00F83D20"/>
    <w:rsid w:val="00F875FF"/>
    <w:rsid w:val="00F879BF"/>
    <w:rsid w:val="00F87A1A"/>
    <w:rsid w:val="00F87C8B"/>
    <w:rsid w:val="00F87F24"/>
    <w:rsid w:val="00F90A97"/>
    <w:rsid w:val="00F928D6"/>
    <w:rsid w:val="00F95C09"/>
    <w:rsid w:val="00F95E97"/>
    <w:rsid w:val="00F96FEA"/>
    <w:rsid w:val="00F97A30"/>
    <w:rsid w:val="00FA1046"/>
    <w:rsid w:val="00FA1335"/>
    <w:rsid w:val="00FA17BE"/>
    <w:rsid w:val="00FA42B4"/>
    <w:rsid w:val="00FA433E"/>
    <w:rsid w:val="00FA4883"/>
    <w:rsid w:val="00FA4EF4"/>
    <w:rsid w:val="00FA5589"/>
    <w:rsid w:val="00FA5CB0"/>
    <w:rsid w:val="00FA7993"/>
    <w:rsid w:val="00FB1A76"/>
    <w:rsid w:val="00FB2AF5"/>
    <w:rsid w:val="00FB3294"/>
    <w:rsid w:val="00FB3A81"/>
    <w:rsid w:val="00FB57B4"/>
    <w:rsid w:val="00FB641E"/>
    <w:rsid w:val="00FB785A"/>
    <w:rsid w:val="00FC3420"/>
    <w:rsid w:val="00FC55D9"/>
    <w:rsid w:val="00FC69EF"/>
    <w:rsid w:val="00FD0DF5"/>
    <w:rsid w:val="00FD348F"/>
    <w:rsid w:val="00FD4F16"/>
    <w:rsid w:val="00FE031B"/>
    <w:rsid w:val="00FE129A"/>
    <w:rsid w:val="00FE198A"/>
    <w:rsid w:val="00FE4910"/>
    <w:rsid w:val="00FE53F7"/>
    <w:rsid w:val="00FE567F"/>
    <w:rsid w:val="00FF18C0"/>
    <w:rsid w:val="00FF781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DC7B78-1008-4719-89FA-179AF3C5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843DB"/>
    <w:rPr>
      <w:rFonts w:ascii="Times New Roman" w:eastAsia="Times New Roman" w:hAnsi="Times New Roman"/>
      <w:sz w:val="24"/>
      <w:szCs w:val="24"/>
      <w:lang w:val="es-ES" w:eastAsia="es-ES"/>
    </w:rPr>
  </w:style>
  <w:style w:type="paragraph" w:styleId="Ttulo1">
    <w:name w:val="heading 1"/>
    <w:basedOn w:val="Normal"/>
    <w:next w:val="Normal"/>
    <w:link w:val="Ttulo1Car"/>
    <w:qFormat/>
    <w:rsid w:val="009B198F"/>
    <w:pPr>
      <w:keepNext/>
      <w:numPr>
        <w:numId w:val="1"/>
      </w:numPr>
      <w:outlineLvl w:val="0"/>
    </w:pPr>
    <w:rPr>
      <w:b/>
      <w:bCs/>
    </w:rPr>
  </w:style>
  <w:style w:type="paragraph" w:styleId="Ttulo2">
    <w:name w:val="heading 2"/>
    <w:basedOn w:val="Normal"/>
    <w:next w:val="Normal"/>
    <w:link w:val="Ttulo2Car"/>
    <w:qFormat/>
    <w:rsid w:val="009B198F"/>
    <w:pPr>
      <w:keepNext/>
      <w:keepLines/>
      <w:numPr>
        <w:ilvl w:val="1"/>
        <w:numId w:val="1"/>
      </w:numPr>
      <w:spacing w:before="200"/>
      <w:outlineLvl w:val="1"/>
    </w:pPr>
    <w:rPr>
      <w:rFonts w:ascii="Cambria" w:hAnsi="Cambria"/>
      <w:b/>
      <w:bCs/>
      <w:color w:val="4F81BD"/>
      <w:sz w:val="26"/>
      <w:szCs w:val="26"/>
    </w:rPr>
  </w:style>
  <w:style w:type="paragraph" w:styleId="Ttulo3">
    <w:name w:val="heading 3"/>
    <w:basedOn w:val="Normal"/>
    <w:next w:val="Normal"/>
    <w:link w:val="Ttulo3Car"/>
    <w:qFormat/>
    <w:rsid w:val="009B198F"/>
    <w:pPr>
      <w:keepNext/>
      <w:keepLines/>
      <w:numPr>
        <w:ilvl w:val="2"/>
        <w:numId w:val="1"/>
      </w:numPr>
      <w:spacing w:before="200"/>
      <w:outlineLvl w:val="2"/>
    </w:pPr>
    <w:rPr>
      <w:rFonts w:ascii="Cambria" w:hAnsi="Cambria"/>
      <w:b/>
      <w:bCs/>
      <w:color w:val="4F81BD"/>
    </w:rPr>
  </w:style>
  <w:style w:type="paragraph" w:styleId="Ttulo4">
    <w:name w:val="heading 4"/>
    <w:basedOn w:val="Normal"/>
    <w:next w:val="Normal"/>
    <w:link w:val="Ttulo4Car"/>
    <w:qFormat/>
    <w:rsid w:val="009B198F"/>
    <w:pPr>
      <w:keepNext/>
      <w:keepLines/>
      <w:numPr>
        <w:ilvl w:val="3"/>
        <w:numId w:val="1"/>
      </w:numPr>
      <w:spacing w:before="200"/>
      <w:outlineLvl w:val="3"/>
    </w:pPr>
    <w:rPr>
      <w:rFonts w:ascii="Cambria" w:hAnsi="Cambria"/>
      <w:b/>
      <w:bCs/>
      <w:i/>
      <w:iCs/>
      <w:color w:val="4F81BD"/>
    </w:rPr>
  </w:style>
  <w:style w:type="paragraph" w:styleId="Ttulo5">
    <w:name w:val="heading 5"/>
    <w:basedOn w:val="Normal"/>
    <w:next w:val="Normal"/>
    <w:link w:val="Ttulo5Car"/>
    <w:qFormat/>
    <w:rsid w:val="009B198F"/>
    <w:pPr>
      <w:keepNext/>
      <w:keepLines/>
      <w:numPr>
        <w:ilvl w:val="4"/>
        <w:numId w:val="1"/>
      </w:numPr>
      <w:spacing w:before="200"/>
      <w:outlineLvl w:val="4"/>
    </w:pPr>
    <w:rPr>
      <w:rFonts w:ascii="Cambria" w:hAnsi="Cambria"/>
      <w:color w:val="243F60"/>
    </w:rPr>
  </w:style>
  <w:style w:type="paragraph" w:styleId="Ttulo6">
    <w:name w:val="heading 6"/>
    <w:basedOn w:val="Normal"/>
    <w:next w:val="Normal"/>
    <w:link w:val="Ttulo6Car"/>
    <w:qFormat/>
    <w:rsid w:val="009B198F"/>
    <w:pPr>
      <w:keepNext/>
      <w:keepLines/>
      <w:numPr>
        <w:ilvl w:val="5"/>
        <w:numId w:val="1"/>
      </w:numPr>
      <w:spacing w:before="200"/>
      <w:outlineLvl w:val="5"/>
    </w:pPr>
    <w:rPr>
      <w:rFonts w:ascii="Cambria" w:hAnsi="Cambria"/>
      <w:i/>
      <w:iCs/>
      <w:color w:val="243F60"/>
    </w:rPr>
  </w:style>
  <w:style w:type="paragraph" w:styleId="Ttulo7">
    <w:name w:val="heading 7"/>
    <w:basedOn w:val="Normal"/>
    <w:next w:val="Normal"/>
    <w:link w:val="Ttulo7Car"/>
    <w:qFormat/>
    <w:rsid w:val="009B198F"/>
    <w:pPr>
      <w:keepNext/>
      <w:keepLines/>
      <w:numPr>
        <w:ilvl w:val="6"/>
        <w:numId w:val="1"/>
      </w:numPr>
      <w:spacing w:before="200"/>
      <w:outlineLvl w:val="6"/>
    </w:pPr>
    <w:rPr>
      <w:rFonts w:ascii="Cambria" w:hAnsi="Cambria"/>
      <w:i/>
      <w:iCs/>
      <w:color w:val="404040"/>
    </w:rPr>
  </w:style>
  <w:style w:type="paragraph" w:styleId="Ttulo8">
    <w:name w:val="heading 8"/>
    <w:basedOn w:val="Normal"/>
    <w:next w:val="Normal"/>
    <w:link w:val="Ttulo8Car"/>
    <w:qFormat/>
    <w:rsid w:val="009B198F"/>
    <w:pPr>
      <w:keepNext/>
      <w:keepLines/>
      <w:numPr>
        <w:ilvl w:val="7"/>
        <w:numId w:val="1"/>
      </w:numPr>
      <w:spacing w:before="200"/>
      <w:outlineLvl w:val="7"/>
    </w:pPr>
    <w:rPr>
      <w:rFonts w:ascii="Cambria" w:hAnsi="Cambria"/>
      <w:color w:val="404040"/>
      <w:sz w:val="20"/>
      <w:szCs w:val="20"/>
    </w:rPr>
  </w:style>
  <w:style w:type="paragraph" w:styleId="Ttulo9">
    <w:name w:val="heading 9"/>
    <w:basedOn w:val="Normal"/>
    <w:next w:val="Normal"/>
    <w:link w:val="Ttulo9Car"/>
    <w:qFormat/>
    <w:rsid w:val="009B198F"/>
    <w:pPr>
      <w:keepNext/>
      <w:keepLines/>
      <w:numPr>
        <w:ilvl w:val="8"/>
        <w:numId w:val="1"/>
      </w:numPr>
      <w:spacing w:before="200"/>
      <w:outlineLvl w:val="8"/>
    </w:pPr>
    <w:rPr>
      <w:rFonts w:ascii="Cambria"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9B198F"/>
    <w:rPr>
      <w:rFonts w:ascii="Times New Roman" w:eastAsia="Times New Roman" w:hAnsi="Times New Roman"/>
      <w:b/>
      <w:bCs/>
      <w:sz w:val="24"/>
      <w:szCs w:val="24"/>
      <w:lang w:val="es-ES" w:eastAsia="es-ES"/>
    </w:rPr>
  </w:style>
  <w:style w:type="character" w:customStyle="1" w:styleId="Ttulo2Car">
    <w:name w:val="Título 2 Car"/>
    <w:link w:val="Ttulo2"/>
    <w:rsid w:val="009B198F"/>
    <w:rPr>
      <w:rFonts w:ascii="Cambria" w:eastAsia="Times New Roman" w:hAnsi="Cambria"/>
      <w:b/>
      <w:bCs/>
      <w:color w:val="4F81BD"/>
      <w:sz w:val="26"/>
      <w:szCs w:val="26"/>
      <w:lang w:val="es-ES" w:eastAsia="es-ES"/>
    </w:rPr>
  </w:style>
  <w:style w:type="character" w:customStyle="1" w:styleId="Ttulo3Car">
    <w:name w:val="Título 3 Car"/>
    <w:link w:val="Ttulo3"/>
    <w:rsid w:val="009B198F"/>
    <w:rPr>
      <w:rFonts w:ascii="Cambria" w:eastAsia="Times New Roman" w:hAnsi="Cambria"/>
      <w:b/>
      <w:bCs/>
      <w:color w:val="4F81BD"/>
      <w:sz w:val="24"/>
      <w:szCs w:val="24"/>
      <w:lang w:val="es-ES" w:eastAsia="es-ES"/>
    </w:rPr>
  </w:style>
  <w:style w:type="character" w:customStyle="1" w:styleId="Ttulo4Car">
    <w:name w:val="Título 4 Car"/>
    <w:link w:val="Ttulo4"/>
    <w:rsid w:val="009B198F"/>
    <w:rPr>
      <w:rFonts w:ascii="Cambria" w:eastAsia="Times New Roman" w:hAnsi="Cambria"/>
      <w:b/>
      <w:bCs/>
      <w:i/>
      <w:iCs/>
      <w:color w:val="4F81BD"/>
      <w:sz w:val="24"/>
      <w:szCs w:val="24"/>
      <w:lang w:val="es-ES" w:eastAsia="es-ES"/>
    </w:rPr>
  </w:style>
  <w:style w:type="character" w:customStyle="1" w:styleId="Ttulo5Car">
    <w:name w:val="Título 5 Car"/>
    <w:link w:val="Ttulo5"/>
    <w:rsid w:val="009B198F"/>
    <w:rPr>
      <w:rFonts w:ascii="Cambria" w:eastAsia="Times New Roman" w:hAnsi="Cambria"/>
      <w:color w:val="243F60"/>
      <w:sz w:val="24"/>
      <w:szCs w:val="24"/>
      <w:lang w:val="es-ES" w:eastAsia="es-ES"/>
    </w:rPr>
  </w:style>
  <w:style w:type="character" w:customStyle="1" w:styleId="Ttulo6Car">
    <w:name w:val="Título 6 Car"/>
    <w:link w:val="Ttulo6"/>
    <w:rsid w:val="009B198F"/>
    <w:rPr>
      <w:rFonts w:ascii="Cambria" w:eastAsia="Times New Roman" w:hAnsi="Cambria"/>
      <w:i/>
      <w:iCs/>
      <w:color w:val="243F60"/>
      <w:sz w:val="24"/>
      <w:szCs w:val="24"/>
      <w:lang w:val="es-ES" w:eastAsia="es-ES"/>
    </w:rPr>
  </w:style>
  <w:style w:type="character" w:customStyle="1" w:styleId="Ttulo7Car">
    <w:name w:val="Título 7 Car"/>
    <w:link w:val="Ttulo7"/>
    <w:rsid w:val="009B198F"/>
    <w:rPr>
      <w:rFonts w:ascii="Cambria" w:eastAsia="Times New Roman" w:hAnsi="Cambria"/>
      <w:i/>
      <w:iCs/>
      <w:color w:val="404040"/>
      <w:sz w:val="24"/>
      <w:szCs w:val="24"/>
      <w:lang w:val="es-ES" w:eastAsia="es-ES"/>
    </w:rPr>
  </w:style>
  <w:style w:type="character" w:customStyle="1" w:styleId="Ttulo8Car">
    <w:name w:val="Título 8 Car"/>
    <w:link w:val="Ttulo8"/>
    <w:rsid w:val="009B198F"/>
    <w:rPr>
      <w:rFonts w:ascii="Cambria" w:eastAsia="Times New Roman" w:hAnsi="Cambria"/>
      <w:color w:val="404040"/>
      <w:lang w:val="es-ES" w:eastAsia="es-ES"/>
    </w:rPr>
  </w:style>
  <w:style w:type="character" w:customStyle="1" w:styleId="Ttulo9Car">
    <w:name w:val="Título 9 Car"/>
    <w:link w:val="Ttulo9"/>
    <w:rsid w:val="009B198F"/>
    <w:rPr>
      <w:rFonts w:ascii="Cambria" w:eastAsia="Times New Roman" w:hAnsi="Cambria"/>
      <w:i/>
      <w:iCs/>
      <w:color w:val="404040"/>
      <w:lang w:val="es-ES" w:eastAsia="es-ES"/>
    </w:rPr>
  </w:style>
  <w:style w:type="paragraph" w:styleId="Encabezado">
    <w:name w:val="header"/>
    <w:basedOn w:val="Normal"/>
    <w:link w:val="EncabezadoCar"/>
    <w:uiPriority w:val="99"/>
    <w:rsid w:val="009B198F"/>
    <w:pPr>
      <w:tabs>
        <w:tab w:val="center" w:pos="4252"/>
        <w:tab w:val="right" w:pos="8504"/>
      </w:tabs>
    </w:pPr>
  </w:style>
  <w:style w:type="character" w:customStyle="1" w:styleId="EncabezadoCar">
    <w:name w:val="Encabezado Car"/>
    <w:link w:val="Encabezado"/>
    <w:uiPriority w:val="99"/>
    <w:rsid w:val="009B198F"/>
    <w:rPr>
      <w:rFonts w:ascii="Times New Roman" w:eastAsia="Times New Roman" w:hAnsi="Times New Roman" w:cs="Times New Roman"/>
      <w:sz w:val="24"/>
      <w:szCs w:val="24"/>
    </w:rPr>
  </w:style>
  <w:style w:type="character" w:styleId="Nmerodepgina">
    <w:name w:val="page number"/>
    <w:basedOn w:val="Fuentedeprrafopredeter"/>
    <w:rsid w:val="009B198F"/>
  </w:style>
  <w:style w:type="paragraph" w:customStyle="1" w:styleId="ListParagraph1">
    <w:name w:val="List Paragraph1"/>
    <w:basedOn w:val="Normal"/>
    <w:rsid w:val="009B198F"/>
    <w:pPr>
      <w:ind w:left="720"/>
    </w:pPr>
  </w:style>
  <w:style w:type="paragraph" w:customStyle="1" w:styleId="Prrafodelista1">
    <w:name w:val="Párrafo de lista1"/>
    <w:basedOn w:val="Normal"/>
    <w:uiPriority w:val="34"/>
    <w:qFormat/>
    <w:rsid w:val="009B198F"/>
    <w:pPr>
      <w:ind w:left="708"/>
    </w:pPr>
    <w:rPr>
      <w:rFonts w:eastAsia="Calibri"/>
    </w:rPr>
  </w:style>
  <w:style w:type="paragraph" w:styleId="Prrafodelista">
    <w:name w:val="List Paragraph"/>
    <w:basedOn w:val="Normal"/>
    <w:uiPriority w:val="34"/>
    <w:qFormat/>
    <w:rsid w:val="009B198F"/>
    <w:pPr>
      <w:ind w:left="708"/>
    </w:pPr>
  </w:style>
  <w:style w:type="paragraph" w:styleId="Textodeglobo">
    <w:name w:val="Balloon Text"/>
    <w:basedOn w:val="Normal"/>
    <w:link w:val="TextodegloboCar"/>
    <w:uiPriority w:val="99"/>
    <w:unhideWhenUsed/>
    <w:rsid w:val="00BF318F"/>
    <w:rPr>
      <w:rFonts w:ascii="Tahoma" w:hAnsi="Tahoma" w:cs="Tahoma"/>
      <w:sz w:val="16"/>
      <w:szCs w:val="16"/>
    </w:rPr>
  </w:style>
  <w:style w:type="character" w:customStyle="1" w:styleId="TextodegloboCar">
    <w:name w:val="Texto de globo Car"/>
    <w:link w:val="Textodeglobo"/>
    <w:uiPriority w:val="99"/>
    <w:rsid w:val="00BF318F"/>
    <w:rPr>
      <w:rFonts w:ascii="Tahoma" w:eastAsia="Times New Roman" w:hAnsi="Tahoma" w:cs="Tahoma"/>
      <w:sz w:val="16"/>
      <w:szCs w:val="16"/>
      <w:lang w:val="es-ES" w:eastAsia="es-ES"/>
    </w:rPr>
  </w:style>
  <w:style w:type="paragraph" w:styleId="Textonotapie">
    <w:name w:val="footnote text"/>
    <w:aliases w:val="Texto nota pie Car Car Car Car Car Car,Texto nota pie Car Car Car Car Car Car Car,Texto nota pie Car Car Car Car Car Car Ca"/>
    <w:basedOn w:val="Normal"/>
    <w:link w:val="TextonotapieCar"/>
    <w:uiPriority w:val="99"/>
    <w:rsid w:val="00BF318F"/>
    <w:rPr>
      <w:sz w:val="20"/>
      <w:szCs w:val="20"/>
    </w:rPr>
  </w:style>
  <w:style w:type="character" w:customStyle="1" w:styleId="TextonotapieCar">
    <w:name w:val="Texto nota pie Car"/>
    <w:aliases w:val="Texto nota pie Car Car Car Car Car Car Car1,Texto nota pie Car Car Car Car Car Car Car Car,Texto nota pie Car Car Car Car Car Car Ca Car"/>
    <w:link w:val="Textonotapie"/>
    <w:uiPriority w:val="99"/>
    <w:rsid w:val="00BF318F"/>
    <w:rPr>
      <w:rFonts w:ascii="Times New Roman" w:eastAsia="Times New Roman" w:hAnsi="Times New Roman" w:cs="Times New Roman"/>
      <w:sz w:val="20"/>
      <w:szCs w:val="20"/>
      <w:lang w:val="es-ES" w:eastAsia="es-ES"/>
    </w:rPr>
  </w:style>
  <w:style w:type="character" w:styleId="Refdenotaalpie">
    <w:name w:val="footnote reference"/>
    <w:uiPriority w:val="99"/>
    <w:rsid w:val="00BF318F"/>
    <w:rPr>
      <w:vertAlign w:val="superscript"/>
    </w:rPr>
  </w:style>
  <w:style w:type="paragraph" w:customStyle="1" w:styleId="Default">
    <w:name w:val="Default"/>
    <w:rsid w:val="00BF318F"/>
    <w:pPr>
      <w:widowControl w:val="0"/>
      <w:autoSpaceDE w:val="0"/>
      <w:autoSpaceDN w:val="0"/>
      <w:adjustRightInd w:val="0"/>
    </w:pPr>
    <w:rPr>
      <w:rFonts w:ascii="Felix Titling" w:eastAsia="Times New Roman" w:hAnsi="Felix Titling" w:cs="Felix Titling"/>
      <w:color w:val="000000"/>
      <w:sz w:val="24"/>
      <w:szCs w:val="24"/>
      <w:lang w:val="es-ES" w:eastAsia="es-ES"/>
    </w:rPr>
  </w:style>
  <w:style w:type="paragraph" w:customStyle="1" w:styleId="CM49">
    <w:name w:val="CM49"/>
    <w:basedOn w:val="Default"/>
    <w:next w:val="Default"/>
    <w:uiPriority w:val="99"/>
    <w:rsid w:val="006C7AF9"/>
    <w:pPr>
      <w:spacing w:after="105"/>
    </w:pPr>
    <w:rPr>
      <w:rFonts w:cs="Times New Roman"/>
      <w:color w:val="auto"/>
    </w:rPr>
  </w:style>
  <w:style w:type="table" w:styleId="Tablaconcuadrcula">
    <w:name w:val="Table Grid"/>
    <w:basedOn w:val="Tablanormal"/>
    <w:uiPriority w:val="59"/>
    <w:rsid w:val="001B07B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EB2FBA"/>
    <w:pPr>
      <w:pBdr>
        <w:top w:val="thinThickSmallGap" w:sz="24" w:space="1" w:color="585858" w:themeColor="accent2" w:themeShade="7F"/>
      </w:pBdr>
      <w:tabs>
        <w:tab w:val="center" w:pos="4419"/>
        <w:tab w:val="right" w:pos="8838"/>
      </w:tabs>
    </w:pPr>
    <w:rPr>
      <w:rFonts w:asciiTheme="majorHAnsi" w:eastAsiaTheme="majorEastAsia" w:hAnsiTheme="majorHAnsi" w:cstheme="majorBidi"/>
    </w:rPr>
  </w:style>
  <w:style w:type="character" w:customStyle="1" w:styleId="PiedepginaCar">
    <w:name w:val="Pie de página Car"/>
    <w:link w:val="Piedepgina"/>
    <w:uiPriority w:val="99"/>
    <w:rsid w:val="00EB2FBA"/>
    <w:rPr>
      <w:rFonts w:asciiTheme="majorHAnsi" w:eastAsiaTheme="majorEastAsia" w:hAnsiTheme="majorHAnsi" w:cstheme="majorBidi"/>
      <w:sz w:val="24"/>
      <w:szCs w:val="24"/>
      <w:lang w:val="es-ES" w:eastAsia="es-ES"/>
    </w:rPr>
  </w:style>
  <w:style w:type="character" w:styleId="Textoennegrita">
    <w:name w:val="Strong"/>
    <w:uiPriority w:val="22"/>
    <w:qFormat/>
    <w:rsid w:val="00534E33"/>
    <w:rPr>
      <w:b/>
      <w:bCs/>
    </w:rPr>
  </w:style>
  <w:style w:type="character" w:styleId="Hipervnculo">
    <w:name w:val="Hyperlink"/>
    <w:uiPriority w:val="99"/>
    <w:unhideWhenUsed/>
    <w:rsid w:val="00A34A28"/>
    <w:rPr>
      <w:color w:val="0000FF"/>
      <w:u w:val="single"/>
    </w:rPr>
  </w:style>
  <w:style w:type="character" w:styleId="Hipervnculovisitado">
    <w:name w:val="FollowedHyperlink"/>
    <w:uiPriority w:val="99"/>
    <w:semiHidden/>
    <w:unhideWhenUsed/>
    <w:rsid w:val="009F7DEF"/>
    <w:rPr>
      <w:color w:val="800080"/>
      <w:u w:val="single"/>
    </w:rPr>
  </w:style>
  <w:style w:type="paragraph" w:styleId="NormalWeb">
    <w:name w:val="Normal (Web)"/>
    <w:basedOn w:val="Normal"/>
    <w:uiPriority w:val="99"/>
    <w:semiHidden/>
    <w:unhideWhenUsed/>
    <w:rsid w:val="000520A7"/>
    <w:pPr>
      <w:spacing w:before="100" w:beforeAutospacing="1" w:after="100" w:afterAutospacing="1"/>
    </w:pPr>
    <w:rPr>
      <w:rFonts w:eastAsiaTheme="minorEastAsia"/>
      <w:lang w:val="es-GT" w:eastAsia="es-GT"/>
    </w:rPr>
  </w:style>
  <w:style w:type="paragraph" w:styleId="Sinespaciado">
    <w:name w:val="No Spacing"/>
    <w:uiPriority w:val="99"/>
    <w:qFormat/>
    <w:rsid w:val="00C7413E"/>
    <w:rPr>
      <w:rFonts w:asciiTheme="minorHAnsi" w:eastAsiaTheme="minorEastAsia" w:hAnsiTheme="minorHAnsi" w:cstheme="minorBidi"/>
      <w:sz w:val="24"/>
      <w:szCs w:val="24"/>
      <w:lang w:val="es-ES_tradnl" w:eastAsia="ja-JP"/>
    </w:rPr>
  </w:style>
  <w:style w:type="paragraph" w:styleId="TtuloTDC">
    <w:name w:val="TOC Heading"/>
    <w:basedOn w:val="Ttulo1"/>
    <w:next w:val="Normal"/>
    <w:uiPriority w:val="39"/>
    <w:unhideWhenUsed/>
    <w:qFormat/>
    <w:rsid w:val="00D61558"/>
    <w:pPr>
      <w:keepLines/>
      <w:numPr>
        <w:numId w:val="0"/>
      </w:numPr>
      <w:spacing w:before="480" w:line="276" w:lineRule="auto"/>
      <w:outlineLvl w:val="9"/>
    </w:pPr>
    <w:rPr>
      <w:rFonts w:asciiTheme="majorHAnsi" w:eastAsiaTheme="majorEastAsia" w:hAnsiTheme="majorHAnsi" w:cstheme="majorBidi"/>
      <w:color w:val="A5A5A5" w:themeColor="accent1" w:themeShade="BF"/>
      <w:sz w:val="28"/>
      <w:szCs w:val="28"/>
      <w:lang w:val="es-GT" w:eastAsia="es-GT"/>
    </w:rPr>
  </w:style>
  <w:style w:type="paragraph" w:styleId="TDC1">
    <w:name w:val="toc 1"/>
    <w:basedOn w:val="Normal"/>
    <w:next w:val="Normal"/>
    <w:autoRedefine/>
    <w:uiPriority w:val="39"/>
    <w:unhideWhenUsed/>
    <w:rsid w:val="00383CA7"/>
    <w:pPr>
      <w:tabs>
        <w:tab w:val="left" w:pos="480"/>
        <w:tab w:val="right" w:leader="dot" w:pos="9062"/>
      </w:tabs>
      <w:spacing w:after="100"/>
      <w:jc w:val="both"/>
    </w:pPr>
  </w:style>
  <w:style w:type="paragraph" w:styleId="TDC2">
    <w:name w:val="toc 2"/>
    <w:basedOn w:val="Normal"/>
    <w:next w:val="Normal"/>
    <w:autoRedefine/>
    <w:uiPriority w:val="39"/>
    <w:unhideWhenUsed/>
    <w:rsid w:val="000775C1"/>
    <w:pPr>
      <w:tabs>
        <w:tab w:val="left" w:pos="880"/>
        <w:tab w:val="right" w:leader="dot" w:pos="8828"/>
      </w:tabs>
      <w:spacing w:after="100"/>
      <w:ind w:left="240"/>
    </w:pPr>
  </w:style>
  <w:style w:type="paragraph" w:styleId="TDC3">
    <w:name w:val="toc 3"/>
    <w:basedOn w:val="Normal"/>
    <w:next w:val="Normal"/>
    <w:autoRedefine/>
    <w:uiPriority w:val="39"/>
    <w:unhideWhenUsed/>
    <w:rsid w:val="004F48BD"/>
    <w:pPr>
      <w:tabs>
        <w:tab w:val="left" w:pos="1100"/>
        <w:tab w:val="right" w:leader="dot" w:pos="9062"/>
      </w:tabs>
      <w:spacing w:after="100"/>
      <w:ind w:left="480"/>
      <w:jc w:val="both"/>
    </w:pPr>
  </w:style>
  <w:style w:type="character" w:styleId="Refdecomentario">
    <w:name w:val="annotation reference"/>
    <w:basedOn w:val="Fuentedeprrafopredeter"/>
    <w:uiPriority w:val="99"/>
    <w:semiHidden/>
    <w:unhideWhenUsed/>
    <w:rsid w:val="00B372A0"/>
    <w:rPr>
      <w:sz w:val="16"/>
      <w:szCs w:val="16"/>
    </w:rPr>
  </w:style>
  <w:style w:type="paragraph" w:styleId="Textocomentario">
    <w:name w:val="annotation text"/>
    <w:basedOn w:val="Normal"/>
    <w:link w:val="TextocomentarioCar"/>
    <w:uiPriority w:val="99"/>
    <w:semiHidden/>
    <w:unhideWhenUsed/>
    <w:rsid w:val="00B372A0"/>
    <w:rPr>
      <w:sz w:val="20"/>
      <w:szCs w:val="20"/>
    </w:rPr>
  </w:style>
  <w:style w:type="character" w:customStyle="1" w:styleId="TextocomentarioCar">
    <w:name w:val="Texto comentario Car"/>
    <w:basedOn w:val="Fuentedeprrafopredeter"/>
    <w:link w:val="Textocomentario"/>
    <w:uiPriority w:val="99"/>
    <w:semiHidden/>
    <w:rsid w:val="00B372A0"/>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B372A0"/>
    <w:rPr>
      <w:b/>
      <w:bCs/>
    </w:rPr>
  </w:style>
  <w:style w:type="character" w:customStyle="1" w:styleId="AsuntodelcomentarioCar">
    <w:name w:val="Asunto del comentario Car"/>
    <w:basedOn w:val="TextocomentarioCar"/>
    <w:link w:val="Asuntodelcomentario"/>
    <w:uiPriority w:val="99"/>
    <w:semiHidden/>
    <w:rsid w:val="00B372A0"/>
    <w:rPr>
      <w:rFonts w:ascii="Times New Roman" w:eastAsia="Times New Roman" w:hAnsi="Times New Roman"/>
      <w:b/>
      <w:bCs/>
      <w:lang w:val="es-ES" w:eastAsia="es-ES"/>
    </w:rPr>
  </w:style>
  <w:style w:type="table" w:customStyle="1" w:styleId="Listamedia2-nfasis11">
    <w:name w:val="Lista media 2 - Énfasis 11"/>
    <w:basedOn w:val="Tablanormal"/>
    <w:uiPriority w:val="66"/>
    <w:rsid w:val="0085525B"/>
    <w:rPr>
      <w:rFonts w:ascii="Cambria" w:eastAsia="Times New Roman" w:hAnsi="Cambria"/>
      <w:color w:val="000000"/>
      <w:sz w:val="22"/>
      <w:szCs w:val="22"/>
      <w:lang w:val="es-E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media2-nfasis1">
    <w:name w:val="Medium List 2 Accent 1"/>
    <w:basedOn w:val="Tablanormal"/>
    <w:uiPriority w:val="66"/>
    <w:rsid w:val="0085525B"/>
    <w:rPr>
      <w:rFonts w:asciiTheme="majorHAnsi" w:eastAsiaTheme="majorEastAsia" w:hAnsiTheme="majorHAnsi" w:cstheme="majorBidi"/>
      <w:color w:val="000000" w:themeColor="text1"/>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7564">
      <w:bodyDiv w:val="1"/>
      <w:marLeft w:val="0"/>
      <w:marRight w:val="0"/>
      <w:marTop w:val="0"/>
      <w:marBottom w:val="0"/>
      <w:divBdr>
        <w:top w:val="none" w:sz="0" w:space="0" w:color="auto"/>
        <w:left w:val="none" w:sz="0" w:space="0" w:color="auto"/>
        <w:bottom w:val="none" w:sz="0" w:space="0" w:color="auto"/>
        <w:right w:val="none" w:sz="0" w:space="0" w:color="auto"/>
      </w:divBdr>
      <w:divsChild>
        <w:div w:id="1884439074">
          <w:marLeft w:val="274"/>
          <w:marRight w:val="0"/>
          <w:marTop w:val="0"/>
          <w:marBottom w:val="240"/>
          <w:divBdr>
            <w:top w:val="none" w:sz="0" w:space="0" w:color="auto"/>
            <w:left w:val="none" w:sz="0" w:space="0" w:color="auto"/>
            <w:bottom w:val="none" w:sz="0" w:space="0" w:color="auto"/>
            <w:right w:val="none" w:sz="0" w:space="0" w:color="auto"/>
          </w:divBdr>
        </w:div>
        <w:div w:id="1464498466">
          <w:marLeft w:val="274"/>
          <w:marRight w:val="0"/>
          <w:marTop w:val="0"/>
          <w:marBottom w:val="240"/>
          <w:divBdr>
            <w:top w:val="none" w:sz="0" w:space="0" w:color="auto"/>
            <w:left w:val="none" w:sz="0" w:space="0" w:color="auto"/>
            <w:bottom w:val="none" w:sz="0" w:space="0" w:color="auto"/>
            <w:right w:val="none" w:sz="0" w:space="0" w:color="auto"/>
          </w:divBdr>
        </w:div>
        <w:div w:id="1479304816">
          <w:marLeft w:val="274"/>
          <w:marRight w:val="0"/>
          <w:marTop w:val="0"/>
          <w:marBottom w:val="240"/>
          <w:divBdr>
            <w:top w:val="none" w:sz="0" w:space="0" w:color="auto"/>
            <w:left w:val="none" w:sz="0" w:space="0" w:color="auto"/>
            <w:bottom w:val="none" w:sz="0" w:space="0" w:color="auto"/>
            <w:right w:val="none" w:sz="0" w:space="0" w:color="auto"/>
          </w:divBdr>
        </w:div>
      </w:divsChild>
    </w:div>
    <w:div w:id="12615010">
      <w:bodyDiv w:val="1"/>
      <w:marLeft w:val="0"/>
      <w:marRight w:val="0"/>
      <w:marTop w:val="0"/>
      <w:marBottom w:val="0"/>
      <w:divBdr>
        <w:top w:val="none" w:sz="0" w:space="0" w:color="auto"/>
        <w:left w:val="none" w:sz="0" w:space="0" w:color="auto"/>
        <w:bottom w:val="none" w:sz="0" w:space="0" w:color="auto"/>
        <w:right w:val="none" w:sz="0" w:space="0" w:color="auto"/>
      </w:divBdr>
      <w:divsChild>
        <w:div w:id="874804913">
          <w:marLeft w:val="576"/>
          <w:marRight w:val="0"/>
          <w:marTop w:val="120"/>
          <w:marBottom w:val="0"/>
          <w:divBdr>
            <w:top w:val="none" w:sz="0" w:space="0" w:color="auto"/>
            <w:left w:val="none" w:sz="0" w:space="0" w:color="auto"/>
            <w:bottom w:val="none" w:sz="0" w:space="0" w:color="auto"/>
            <w:right w:val="none" w:sz="0" w:space="0" w:color="auto"/>
          </w:divBdr>
        </w:div>
      </w:divsChild>
    </w:div>
    <w:div w:id="74597903">
      <w:bodyDiv w:val="1"/>
      <w:marLeft w:val="0"/>
      <w:marRight w:val="0"/>
      <w:marTop w:val="0"/>
      <w:marBottom w:val="0"/>
      <w:divBdr>
        <w:top w:val="none" w:sz="0" w:space="0" w:color="auto"/>
        <w:left w:val="none" w:sz="0" w:space="0" w:color="auto"/>
        <w:bottom w:val="none" w:sz="0" w:space="0" w:color="auto"/>
        <w:right w:val="none" w:sz="0" w:space="0" w:color="auto"/>
      </w:divBdr>
    </w:div>
    <w:div w:id="102068754">
      <w:bodyDiv w:val="1"/>
      <w:marLeft w:val="0"/>
      <w:marRight w:val="0"/>
      <w:marTop w:val="0"/>
      <w:marBottom w:val="0"/>
      <w:divBdr>
        <w:top w:val="none" w:sz="0" w:space="0" w:color="auto"/>
        <w:left w:val="none" w:sz="0" w:space="0" w:color="auto"/>
        <w:bottom w:val="none" w:sz="0" w:space="0" w:color="auto"/>
        <w:right w:val="none" w:sz="0" w:space="0" w:color="auto"/>
      </w:divBdr>
    </w:div>
    <w:div w:id="124812311">
      <w:bodyDiv w:val="1"/>
      <w:marLeft w:val="0"/>
      <w:marRight w:val="0"/>
      <w:marTop w:val="0"/>
      <w:marBottom w:val="0"/>
      <w:divBdr>
        <w:top w:val="none" w:sz="0" w:space="0" w:color="auto"/>
        <w:left w:val="none" w:sz="0" w:space="0" w:color="auto"/>
        <w:bottom w:val="none" w:sz="0" w:space="0" w:color="auto"/>
        <w:right w:val="none" w:sz="0" w:space="0" w:color="auto"/>
      </w:divBdr>
    </w:div>
    <w:div w:id="224731212">
      <w:bodyDiv w:val="1"/>
      <w:marLeft w:val="0"/>
      <w:marRight w:val="0"/>
      <w:marTop w:val="0"/>
      <w:marBottom w:val="0"/>
      <w:divBdr>
        <w:top w:val="none" w:sz="0" w:space="0" w:color="auto"/>
        <w:left w:val="none" w:sz="0" w:space="0" w:color="auto"/>
        <w:bottom w:val="none" w:sz="0" w:space="0" w:color="auto"/>
        <w:right w:val="none" w:sz="0" w:space="0" w:color="auto"/>
      </w:divBdr>
      <w:divsChild>
        <w:div w:id="1126898492">
          <w:marLeft w:val="562"/>
          <w:marRight w:val="0"/>
          <w:marTop w:val="0"/>
          <w:marBottom w:val="0"/>
          <w:divBdr>
            <w:top w:val="none" w:sz="0" w:space="0" w:color="auto"/>
            <w:left w:val="none" w:sz="0" w:space="0" w:color="auto"/>
            <w:bottom w:val="none" w:sz="0" w:space="0" w:color="auto"/>
            <w:right w:val="none" w:sz="0" w:space="0" w:color="auto"/>
          </w:divBdr>
        </w:div>
        <w:div w:id="791099228">
          <w:marLeft w:val="562"/>
          <w:marRight w:val="0"/>
          <w:marTop w:val="0"/>
          <w:marBottom w:val="0"/>
          <w:divBdr>
            <w:top w:val="none" w:sz="0" w:space="0" w:color="auto"/>
            <w:left w:val="none" w:sz="0" w:space="0" w:color="auto"/>
            <w:bottom w:val="none" w:sz="0" w:space="0" w:color="auto"/>
            <w:right w:val="none" w:sz="0" w:space="0" w:color="auto"/>
          </w:divBdr>
        </w:div>
        <w:div w:id="1718116599">
          <w:marLeft w:val="562"/>
          <w:marRight w:val="0"/>
          <w:marTop w:val="0"/>
          <w:marBottom w:val="0"/>
          <w:divBdr>
            <w:top w:val="none" w:sz="0" w:space="0" w:color="auto"/>
            <w:left w:val="none" w:sz="0" w:space="0" w:color="auto"/>
            <w:bottom w:val="none" w:sz="0" w:space="0" w:color="auto"/>
            <w:right w:val="none" w:sz="0" w:space="0" w:color="auto"/>
          </w:divBdr>
        </w:div>
      </w:divsChild>
    </w:div>
    <w:div w:id="302665719">
      <w:bodyDiv w:val="1"/>
      <w:marLeft w:val="0"/>
      <w:marRight w:val="0"/>
      <w:marTop w:val="0"/>
      <w:marBottom w:val="0"/>
      <w:divBdr>
        <w:top w:val="none" w:sz="0" w:space="0" w:color="auto"/>
        <w:left w:val="none" w:sz="0" w:space="0" w:color="auto"/>
        <w:bottom w:val="none" w:sz="0" w:space="0" w:color="auto"/>
        <w:right w:val="none" w:sz="0" w:space="0" w:color="auto"/>
      </w:divBdr>
    </w:div>
    <w:div w:id="317077505">
      <w:bodyDiv w:val="1"/>
      <w:marLeft w:val="0"/>
      <w:marRight w:val="0"/>
      <w:marTop w:val="0"/>
      <w:marBottom w:val="0"/>
      <w:divBdr>
        <w:top w:val="none" w:sz="0" w:space="0" w:color="auto"/>
        <w:left w:val="none" w:sz="0" w:space="0" w:color="auto"/>
        <w:bottom w:val="none" w:sz="0" w:space="0" w:color="auto"/>
        <w:right w:val="none" w:sz="0" w:space="0" w:color="auto"/>
      </w:divBdr>
    </w:div>
    <w:div w:id="381290258">
      <w:bodyDiv w:val="1"/>
      <w:marLeft w:val="0"/>
      <w:marRight w:val="0"/>
      <w:marTop w:val="0"/>
      <w:marBottom w:val="0"/>
      <w:divBdr>
        <w:top w:val="none" w:sz="0" w:space="0" w:color="auto"/>
        <w:left w:val="none" w:sz="0" w:space="0" w:color="auto"/>
        <w:bottom w:val="none" w:sz="0" w:space="0" w:color="auto"/>
        <w:right w:val="none" w:sz="0" w:space="0" w:color="auto"/>
      </w:divBdr>
    </w:div>
    <w:div w:id="438334676">
      <w:bodyDiv w:val="1"/>
      <w:marLeft w:val="0"/>
      <w:marRight w:val="0"/>
      <w:marTop w:val="0"/>
      <w:marBottom w:val="0"/>
      <w:divBdr>
        <w:top w:val="none" w:sz="0" w:space="0" w:color="auto"/>
        <w:left w:val="none" w:sz="0" w:space="0" w:color="auto"/>
        <w:bottom w:val="none" w:sz="0" w:space="0" w:color="auto"/>
        <w:right w:val="none" w:sz="0" w:space="0" w:color="auto"/>
      </w:divBdr>
    </w:div>
    <w:div w:id="440341959">
      <w:bodyDiv w:val="1"/>
      <w:marLeft w:val="0"/>
      <w:marRight w:val="0"/>
      <w:marTop w:val="0"/>
      <w:marBottom w:val="0"/>
      <w:divBdr>
        <w:top w:val="none" w:sz="0" w:space="0" w:color="auto"/>
        <w:left w:val="none" w:sz="0" w:space="0" w:color="auto"/>
        <w:bottom w:val="none" w:sz="0" w:space="0" w:color="auto"/>
        <w:right w:val="none" w:sz="0" w:space="0" w:color="auto"/>
      </w:divBdr>
    </w:div>
    <w:div w:id="481119587">
      <w:bodyDiv w:val="1"/>
      <w:marLeft w:val="0"/>
      <w:marRight w:val="0"/>
      <w:marTop w:val="0"/>
      <w:marBottom w:val="0"/>
      <w:divBdr>
        <w:top w:val="none" w:sz="0" w:space="0" w:color="auto"/>
        <w:left w:val="none" w:sz="0" w:space="0" w:color="auto"/>
        <w:bottom w:val="none" w:sz="0" w:space="0" w:color="auto"/>
        <w:right w:val="none" w:sz="0" w:space="0" w:color="auto"/>
      </w:divBdr>
    </w:div>
    <w:div w:id="537472027">
      <w:bodyDiv w:val="1"/>
      <w:marLeft w:val="0"/>
      <w:marRight w:val="0"/>
      <w:marTop w:val="0"/>
      <w:marBottom w:val="0"/>
      <w:divBdr>
        <w:top w:val="none" w:sz="0" w:space="0" w:color="auto"/>
        <w:left w:val="none" w:sz="0" w:space="0" w:color="auto"/>
        <w:bottom w:val="none" w:sz="0" w:space="0" w:color="auto"/>
        <w:right w:val="none" w:sz="0" w:space="0" w:color="auto"/>
      </w:divBdr>
      <w:divsChild>
        <w:div w:id="1166701297">
          <w:marLeft w:val="0"/>
          <w:marRight w:val="0"/>
          <w:marTop w:val="0"/>
          <w:marBottom w:val="0"/>
          <w:divBdr>
            <w:top w:val="none" w:sz="0" w:space="0" w:color="auto"/>
            <w:left w:val="none" w:sz="0" w:space="0" w:color="auto"/>
            <w:bottom w:val="none" w:sz="0" w:space="0" w:color="auto"/>
            <w:right w:val="none" w:sz="0" w:space="0" w:color="auto"/>
          </w:divBdr>
          <w:divsChild>
            <w:div w:id="319886466">
              <w:marLeft w:val="0"/>
              <w:marRight w:val="0"/>
              <w:marTop w:val="0"/>
              <w:marBottom w:val="0"/>
              <w:divBdr>
                <w:top w:val="single" w:sz="24" w:space="0" w:color="FB4C1C"/>
                <w:left w:val="none" w:sz="0" w:space="0" w:color="auto"/>
                <w:bottom w:val="none" w:sz="0" w:space="0" w:color="auto"/>
                <w:right w:val="none" w:sz="0" w:space="0" w:color="auto"/>
              </w:divBdr>
              <w:divsChild>
                <w:div w:id="1064136762">
                  <w:marLeft w:val="0"/>
                  <w:marRight w:val="0"/>
                  <w:marTop w:val="100"/>
                  <w:marBottom w:val="100"/>
                  <w:divBdr>
                    <w:top w:val="none" w:sz="0" w:space="0" w:color="auto"/>
                    <w:left w:val="none" w:sz="0" w:space="0" w:color="auto"/>
                    <w:bottom w:val="none" w:sz="0" w:space="0" w:color="auto"/>
                    <w:right w:val="none" w:sz="0" w:space="0" w:color="auto"/>
                  </w:divBdr>
                  <w:divsChild>
                    <w:div w:id="1058013946">
                      <w:marLeft w:val="0"/>
                      <w:marRight w:val="0"/>
                      <w:marTop w:val="0"/>
                      <w:marBottom w:val="0"/>
                      <w:divBdr>
                        <w:top w:val="none" w:sz="0" w:space="0" w:color="auto"/>
                        <w:left w:val="none" w:sz="0" w:space="0" w:color="auto"/>
                        <w:bottom w:val="none" w:sz="0" w:space="0" w:color="auto"/>
                        <w:right w:val="none" w:sz="0" w:space="0" w:color="auto"/>
                      </w:divBdr>
                      <w:divsChild>
                        <w:div w:id="734008506">
                          <w:marLeft w:val="0"/>
                          <w:marRight w:val="0"/>
                          <w:marTop w:val="0"/>
                          <w:marBottom w:val="0"/>
                          <w:divBdr>
                            <w:top w:val="none" w:sz="0" w:space="0" w:color="auto"/>
                            <w:left w:val="none" w:sz="0" w:space="0" w:color="auto"/>
                            <w:bottom w:val="none" w:sz="0" w:space="0" w:color="auto"/>
                            <w:right w:val="none" w:sz="0" w:space="0" w:color="auto"/>
                          </w:divBdr>
                          <w:divsChild>
                            <w:div w:id="1487088080">
                              <w:marLeft w:val="0"/>
                              <w:marRight w:val="0"/>
                              <w:marTop w:val="0"/>
                              <w:marBottom w:val="0"/>
                              <w:divBdr>
                                <w:top w:val="none" w:sz="0" w:space="0" w:color="auto"/>
                                <w:left w:val="none" w:sz="0" w:space="0" w:color="auto"/>
                                <w:bottom w:val="none" w:sz="0" w:space="0" w:color="auto"/>
                                <w:right w:val="none" w:sz="0" w:space="0" w:color="auto"/>
                              </w:divBdr>
                              <w:divsChild>
                                <w:div w:id="1872643750">
                                  <w:marLeft w:val="0"/>
                                  <w:marRight w:val="0"/>
                                  <w:marTop w:val="0"/>
                                  <w:marBottom w:val="0"/>
                                  <w:divBdr>
                                    <w:top w:val="none" w:sz="0" w:space="0" w:color="auto"/>
                                    <w:left w:val="none" w:sz="0" w:space="0" w:color="auto"/>
                                    <w:bottom w:val="none" w:sz="0" w:space="0" w:color="auto"/>
                                    <w:right w:val="none" w:sz="0" w:space="0" w:color="auto"/>
                                  </w:divBdr>
                                  <w:divsChild>
                                    <w:div w:id="1102651247">
                                      <w:marLeft w:val="0"/>
                                      <w:marRight w:val="0"/>
                                      <w:marTop w:val="0"/>
                                      <w:marBottom w:val="0"/>
                                      <w:divBdr>
                                        <w:top w:val="none" w:sz="0" w:space="0" w:color="auto"/>
                                        <w:left w:val="none" w:sz="0" w:space="0" w:color="auto"/>
                                        <w:bottom w:val="none" w:sz="0" w:space="0" w:color="auto"/>
                                        <w:right w:val="none" w:sz="0" w:space="0" w:color="auto"/>
                                      </w:divBdr>
                                      <w:divsChild>
                                        <w:div w:id="1233126812">
                                          <w:marLeft w:val="0"/>
                                          <w:marRight w:val="0"/>
                                          <w:marTop w:val="0"/>
                                          <w:marBottom w:val="0"/>
                                          <w:divBdr>
                                            <w:top w:val="none" w:sz="0" w:space="0" w:color="auto"/>
                                            <w:left w:val="none" w:sz="0" w:space="0" w:color="auto"/>
                                            <w:bottom w:val="none" w:sz="0" w:space="0" w:color="auto"/>
                                            <w:right w:val="none" w:sz="0" w:space="0" w:color="auto"/>
                                          </w:divBdr>
                                          <w:divsChild>
                                            <w:div w:id="1857187229">
                                              <w:marLeft w:val="0"/>
                                              <w:marRight w:val="0"/>
                                              <w:marTop w:val="0"/>
                                              <w:marBottom w:val="0"/>
                                              <w:divBdr>
                                                <w:top w:val="none" w:sz="0" w:space="0" w:color="auto"/>
                                                <w:left w:val="none" w:sz="0" w:space="0" w:color="auto"/>
                                                <w:bottom w:val="none" w:sz="0" w:space="0" w:color="auto"/>
                                                <w:right w:val="none" w:sz="0" w:space="0" w:color="auto"/>
                                              </w:divBdr>
                                              <w:divsChild>
                                                <w:div w:id="18839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306928">
      <w:bodyDiv w:val="1"/>
      <w:marLeft w:val="0"/>
      <w:marRight w:val="0"/>
      <w:marTop w:val="0"/>
      <w:marBottom w:val="0"/>
      <w:divBdr>
        <w:top w:val="none" w:sz="0" w:space="0" w:color="auto"/>
        <w:left w:val="none" w:sz="0" w:space="0" w:color="auto"/>
        <w:bottom w:val="none" w:sz="0" w:space="0" w:color="auto"/>
        <w:right w:val="none" w:sz="0" w:space="0" w:color="auto"/>
      </w:divBdr>
    </w:div>
    <w:div w:id="662779522">
      <w:bodyDiv w:val="1"/>
      <w:marLeft w:val="0"/>
      <w:marRight w:val="0"/>
      <w:marTop w:val="0"/>
      <w:marBottom w:val="0"/>
      <w:divBdr>
        <w:top w:val="none" w:sz="0" w:space="0" w:color="auto"/>
        <w:left w:val="none" w:sz="0" w:space="0" w:color="auto"/>
        <w:bottom w:val="none" w:sz="0" w:space="0" w:color="auto"/>
        <w:right w:val="none" w:sz="0" w:space="0" w:color="auto"/>
      </w:divBdr>
    </w:div>
    <w:div w:id="694162026">
      <w:bodyDiv w:val="1"/>
      <w:marLeft w:val="0"/>
      <w:marRight w:val="0"/>
      <w:marTop w:val="0"/>
      <w:marBottom w:val="0"/>
      <w:divBdr>
        <w:top w:val="none" w:sz="0" w:space="0" w:color="auto"/>
        <w:left w:val="none" w:sz="0" w:space="0" w:color="auto"/>
        <w:bottom w:val="none" w:sz="0" w:space="0" w:color="auto"/>
        <w:right w:val="none" w:sz="0" w:space="0" w:color="auto"/>
      </w:divBdr>
    </w:div>
    <w:div w:id="711076320">
      <w:bodyDiv w:val="1"/>
      <w:marLeft w:val="0"/>
      <w:marRight w:val="0"/>
      <w:marTop w:val="0"/>
      <w:marBottom w:val="0"/>
      <w:divBdr>
        <w:top w:val="none" w:sz="0" w:space="0" w:color="auto"/>
        <w:left w:val="none" w:sz="0" w:space="0" w:color="auto"/>
        <w:bottom w:val="none" w:sz="0" w:space="0" w:color="auto"/>
        <w:right w:val="none" w:sz="0" w:space="0" w:color="auto"/>
      </w:divBdr>
    </w:div>
    <w:div w:id="782462308">
      <w:bodyDiv w:val="1"/>
      <w:marLeft w:val="0"/>
      <w:marRight w:val="0"/>
      <w:marTop w:val="0"/>
      <w:marBottom w:val="0"/>
      <w:divBdr>
        <w:top w:val="none" w:sz="0" w:space="0" w:color="auto"/>
        <w:left w:val="none" w:sz="0" w:space="0" w:color="auto"/>
        <w:bottom w:val="none" w:sz="0" w:space="0" w:color="auto"/>
        <w:right w:val="none" w:sz="0" w:space="0" w:color="auto"/>
      </w:divBdr>
    </w:div>
    <w:div w:id="830758260">
      <w:bodyDiv w:val="1"/>
      <w:marLeft w:val="0"/>
      <w:marRight w:val="0"/>
      <w:marTop w:val="0"/>
      <w:marBottom w:val="0"/>
      <w:divBdr>
        <w:top w:val="none" w:sz="0" w:space="0" w:color="auto"/>
        <w:left w:val="none" w:sz="0" w:space="0" w:color="auto"/>
        <w:bottom w:val="none" w:sz="0" w:space="0" w:color="auto"/>
        <w:right w:val="none" w:sz="0" w:space="0" w:color="auto"/>
      </w:divBdr>
    </w:div>
    <w:div w:id="870071512">
      <w:bodyDiv w:val="1"/>
      <w:marLeft w:val="0"/>
      <w:marRight w:val="0"/>
      <w:marTop w:val="0"/>
      <w:marBottom w:val="0"/>
      <w:divBdr>
        <w:top w:val="none" w:sz="0" w:space="0" w:color="auto"/>
        <w:left w:val="none" w:sz="0" w:space="0" w:color="auto"/>
        <w:bottom w:val="none" w:sz="0" w:space="0" w:color="auto"/>
        <w:right w:val="none" w:sz="0" w:space="0" w:color="auto"/>
      </w:divBdr>
    </w:div>
    <w:div w:id="911886592">
      <w:bodyDiv w:val="1"/>
      <w:marLeft w:val="0"/>
      <w:marRight w:val="0"/>
      <w:marTop w:val="0"/>
      <w:marBottom w:val="0"/>
      <w:divBdr>
        <w:top w:val="none" w:sz="0" w:space="0" w:color="auto"/>
        <w:left w:val="none" w:sz="0" w:space="0" w:color="auto"/>
        <w:bottom w:val="none" w:sz="0" w:space="0" w:color="auto"/>
        <w:right w:val="none" w:sz="0" w:space="0" w:color="auto"/>
      </w:divBdr>
    </w:div>
    <w:div w:id="912349316">
      <w:bodyDiv w:val="1"/>
      <w:marLeft w:val="0"/>
      <w:marRight w:val="0"/>
      <w:marTop w:val="0"/>
      <w:marBottom w:val="0"/>
      <w:divBdr>
        <w:top w:val="none" w:sz="0" w:space="0" w:color="auto"/>
        <w:left w:val="none" w:sz="0" w:space="0" w:color="auto"/>
        <w:bottom w:val="none" w:sz="0" w:space="0" w:color="auto"/>
        <w:right w:val="none" w:sz="0" w:space="0" w:color="auto"/>
      </w:divBdr>
    </w:div>
    <w:div w:id="1033732043">
      <w:bodyDiv w:val="1"/>
      <w:marLeft w:val="0"/>
      <w:marRight w:val="0"/>
      <w:marTop w:val="0"/>
      <w:marBottom w:val="0"/>
      <w:divBdr>
        <w:top w:val="none" w:sz="0" w:space="0" w:color="auto"/>
        <w:left w:val="none" w:sz="0" w:space="0" w:color="auto"/>
        <w:bottom w:val="none" w:sz="0" w:space="0" w:color="auto"/>
        <w:right w:val="none" w:sz="0" w:space="0" w:color="auto"/>
      </w:divBdr>
    </w:div>
    <w:div w:id="1044598226">
      <w:bodyDiv w:val="1"/>
      <w:marLeft w:val="0"/>
      <w:marRight w:val="0"/>
      <w:marTop w:val="0"/>
      <w:marBottom w:val="0"/>
      <w:divBdr>
        <w:top w:val="none" w:sz="0" w:space="0" w:color="auto"/>
        <w:left w:val="none" w:sz="0" w:space="0" w:color="auto"/>
        <w:bottom w:val="none" w:sz="0" w:space="0" w:color="auto"/>
        <w:right w:val="none" w:sz="0" w:space="0" w:color="auto"/>
      </w:divBdr>
    </w:div>
    <w:div w:id="1072898059">
      <w:bodyDiv w:val="1"/>
      <w:marLeft w:val="0"/>
      <w:marRight w:val="0"/>
      <w:marTop w:val="0"/>
      <w:marBottom w:val="0"/>
      <w:divBdr>
        <w:top w:val="none" w:sz="0" w:space="0" w:color="auto"/>
        <w:left w:val="none" w:sz="0" w:space="0" w:color="auto"/>
        <w:bottom w:val="none" w:sz="0" w:space="0" w:color="auto"/>
        <w:right w:val="none" w:sz="0" w:space="0" w:color="auto"/>
      </w:divBdr>
    </w:div>
    <w:div w:id="1092168563">
      <w:bodyDiv w:val="1"/>
      <w:marLeft w:val="0"/>
      <w:marRight w:val="0"/>
      <w:marTop w:val="0"/>
      <w:marBottom w:val="0"/>
      <w:divBdr>
        <w:top w:val="none" w:sz="0" w:space="0" w:color="auto"/>
        <w:left w:val="none" w:sz="0" w:space="0" w:color="auto"/>
        <w:bottom w:val="none" w:sz="0" w:space="0" w:color="auto"/>
        <w:right w:val="none" w:sz="0" w:space="0" w:color="auto"/>
      </w:divBdr>
    </w:div>
    <w:div w:id="1109423471">
      <w:bodyDiv w:val="1"/>
      <w:marLeft w:val="0"/>
      <w:marRight w:val="0"/>
      <w:marTop w:val="0"/>
      <w:marBottom w:val="0"/>
      <w:divBdr>
        <w:top w:val="none" w:sz="0" w:space="0" w:color="auto"/>
        <w:left w:val="none" w:sz="0" w:space="0" w:color="auto"/>
        <w:bottom w:val="none" w:sz="0" w:space="0" w:color="auto"/>
        <w:right w:val="none" w:sz="0" w:space="0" w:color="auto"/>
      </w:divBdr>
    </w:div>
    <w:div w:id="1126579288">
      <w:bodyDiv w:val="1"/>
      <w:marLeft w:val="0"/>
      <w:marRight w:val="0"/>
      <w:marTop w:val="0"/>
      <w:marBottom w:val="0"/>
      <w:divBdr>
        <w:top w:val="none" w:sz="0" w:space="0" w:color="auto"/>
        <w:left w:val="none" w:sz="0" w:space="0" w:color="auto"/>
        <w:bottom w:val="none" w:sz="0" w:space="0" w:color="auto"/>
        <w:right w:val="none" w:sz="0" w:space="0" w:color="auto"/>
      </w:divBdr>
    </w:div>
    <w:div w:id="1215048107">
      <w:bodyDiv w:val="1"/>
      <w:marLeft w:val="0"/>
      <w:marRight w:val="0"/>
      <w:marTop w:val="0"/>
      <w:marBottom w:val="0"/>
      <w:divBdr>
        <w:top w:val="none" w:sz="0" w:space="0" w:color="auto"/>
        <w:left w:val="none" w:sz="0" w:space="0" w:color="auto"/>
        <w:bottom w:val="none" w:sz="0" w:space="0" w:color="auto"/>
        <w:right w:val="none" w:sz="0" w:space="0" w:color="auto"/>
      </w:divBdr>
    </w:div>
    <w:div w:id="1237477259">
      <w:bodyDiv w:val="1"/>
      <w:marLeft w:val="0"/>
      <w:marRight w:val="0"/>
      <w:marTop w:val="0"/>
      <w:marBottom w:val="0"/>
      <w:divBdr>
        <w:top w:val="none" w:sz="0" w:space="0" w:color="auto"/>
        <w:left w:val="none" w:sz="0" w:space="0" w:color="auto"/>
        <w:bottom w:val="none" w:sz="0" w:space="0" w:color="auto"/>
        <w:right w:val="none" w:sz="0" w:space="0" w:color="auto"/>
      </w:divBdr>
    </w:div>
    <w:div w:id="1257471863">
      <w:bodyDiv w:val="1"/>
      <w:marLeft w:val="0"/>
      <w:marRight w:val="0"/>
      <w:marTop w:val="0"/>
      <w:marBottom w:val="0"/>
      <w:divBdr>
        <w:top w:val="none" w:sz="0" w:space="0" w:color="auto"/>
        <w:left w:val="none" w:sz="0" w:space="0" w:color="auto"/>
        <w:bottom w:val="none" w:sz="0" w:space="0" w:color="auto"/>
        <w:right w:val="none" w:sz="0" w:space="0" w:color="auto"/>
      </w:divBdr>
    </w:div>
    <w:div w:id="1377464446">
      <w:bodyDiv w:val="1"/>
      <w:marLeft w:val="0"/>
      <w:marRight w:val="0"/>
      <w:marTop w:val="0"/>
      <w:marBottom w:val="0"/>
      <w:divBdr>
        <w:top w:val="none" w:sz="0" w:space="0" w:color="auto"/>
        <w:left w:val="none" w:sz="0" w:space="0" w:color="auto"/>
        <w:bottom w:val="none" w:sz="0" w:space="0" w:color="auto"/>
        <w:right w:val="none" w:sz="0" w:space="0" w:color="auto"/>
      </w:divBdr>
      <w:divsChild>
        <w:div w:id="1373193343">
          <w:marLeft w:val="562"/>
          <w:marRight w:val="0"/>
          <w:marTop w:val="0"/>
          <w:marBottom w:val="0"/>
          <w:divBdr>
            <w:top w:val="none" w:sz="0" w:space="0" w:color="auto"/>
            <w:left w:val="none" w:sz="0" w:space="0" w:color="auto"/>
            <w:bottom w:val="none" w:sz="0" w:space="0" w:color="auto"/>
            <w:right w:val="none" w:sz="0" w:space="0" w:color="auto"/>
          </w:divBdr>
        </w:div>
        <w:div w:id="1324119449">
          <w:marLeft w:val="1411"/>
          <w:marRight w:val="0"/>
          <w:marTop w:val="0"/>
          <w:marBottom w:val="0"/>
          <w:divBdr>
            <w:top w:val="none" w:sz="0" w:space="0" w:color="auto"/>
            <w:left w:val="none" w:sz="0" w:space="0" w:color="auto"/>
            <w:bottom w:val="none" w:sz="0" w:space="0" w:color="auto"/>
            <w:right w:val="none" w:sz="0" w:space="0" w:color="auto"/>
          </w:divBdr>
        </w:div>
        <w:div w:id="1732801658">
          <w:marLeft w:val="1411"/>
          <w:marRight w:val="0"/>
          <w:marTop w:val="0"/>
          <w:marBottom w:val="0"/>
          <w:divBdr>
            <w:top w:val="none" w:sz="0" w:space="0" w:color="auto"/>
            <w:left w:val="none" w:sz="0" w:space="0" w:color="auto"/>
            <w:bottom w:val="none" w:sz="0" w:space="0" w:color="auto"/>
            <w:right w:val="none" w:sz="0" w:space="0" w:color="auto"/>
          </w:divBdr>
        </w:div>
        <w:div w:id="427625279">
          <w:marLeft w:val="1411"/>
          <w:marRight w:val="0"/>
          <w:marTop w:val="0"/>
          <w:marBottom w:val="0"/>
          <w:divBdr>
            <w:top w:val="none" w:sz="0" w:space="0" w:color="auto"/>
            <w:left w:val="none" w:sz="0" w:space="0" w:color="auto"/>
            <w:bottom w:val="none" w:sz="0" w:space="0" w:color="auto"/>
            <w:right w:val="none" w:sz="0" w:space="0" w:color="auto"/>
          </w:divBdr>
        </w:div>
        <w:div w:id="1684472485">
          <w:marLeft w:val="1411"/>
          <w:marRight w:val="0"/>
          <w:marTop w:val="0"/>
          <w:marBottom w:val="0"/>
          <w:divBdr>
            <w:top w:val="none" w:sz="0" w:space="0" w:color="auto"/>
            <w:left w:val="none" w:sz="0" w:space="0" w:color="auto"/>
            <w:bottom w:val="none" w:sz="0" w:space="0" w:color="auto"/>
            <w:right w:val="none" w:sz="0" w:space="0" w:color="auto"/>
          </w:divBdr>
        </w:div>
        <w:div w:id="568031031">
          <w:marLeft w:val="1411"/>
          <w:marRight w:val="0"/>
          <w:marTop w:val="0"/>
          <w:marBottom w:val="0"/>
          <w:divBdr>
            <w:top w:val="none" w:sz="0" w:space="0" w:color="auto"/>
            <w:left w:val="none" w:sz="0" w:space="0" w:color="auto"/>
            <w:bottom w:val="none" w:sz="0" w:space="0" w:color="auto"/>
            <w:right w:val="none" w:sz="0" w:space="0" w:color="auto"/>
          </w:divBdr>
        </w:div>
        <w:div w:id="1783454252">
          <w:marLeft w:val="1411"/>
          <w:marRight w:val="0"/>
          <w:marTop w:val="0"/>
          <w:marBottom w:val="0"/>
          <w:divBdr>
            <w:top w:val="none" w:sz="0" w:space="0" w:color="auto"/>
            <w:left w:val="none" w:sz="0" w:space="0" w:color="auto"/>
            <w:bottom w:val="none" w:sz="0" w:space="0" w:color="auto"/>
            <w:right w:val="none" w:sz="0" w:space="0" w:color="auto"/>
          </w:divBdr>
        </w:div>
        <w:div w:id="2022313867">
          <w:marLeft w:val="562"/>
          <w:marRight w:val="0"/>
          <w:marTop w:val="0"/>
          <w:marBottom w:val="0"/>
          <w:divBdr>
            <w:top w:val="none" w:sz="0" w:space="0" w:color="auto"/>
            <w:left w:val="none" w:sz="0" w:space="0" w:color="auto"/>
            <w:bottom w:val="none" w:sz="0" w:space="0" w:color="auto"/>
            <w:right w:val="none" w:sz="0" w:space="0" w:color="auto"/>
          </w:divBdr>
        </w:div>
      </w:divsChild>
    </w:div>
    <w:div w:id="1378160490">
      <w:bodyDiv w:val="1"/>
      <w:marLeft w:val="0"/>
      <w:marRight w:val="0"/>
      <w:marTop w:val="0"/>
      <w:marBottom w:val="0"/>
      <w:divBdr>
        <w:top w:val="none" w:sz="0" w:space="0" w:color="auto"/>
        <w:left w:val="none" w:sz="0" w:space="0" w:color="auto"/>
        <w:bottom w:val="none" w:sz="0" w:space="0" w:color="auto"/>
        <w:right w:val="none" w:sz="0" w:space="0" w:color="auto"/>
      </w:divBdr>
    </w:div>
    <w:div w:id="1392388646">
      <w:bodyDiv w:val="1"/>
      <w:marLeft w:val="0"/>
      <w:marRight w:val="0"/>
      <w:marTop w:val="0"/>
      <w:marBottom w:val="0"/>
      <w:divBdr>
        <w:top w:val="none" w:sz="0" w:space="0" w:color="auto"/>
        <w:left w:val="none" w:sz="0" w:space="0" w:color="auto"/>
        <w:bottom w:val="none" w:sz="0" w:space="0" w:color="auto"/>
        <w:right w:val="none" w:sz="0" w:space="0" w:color="auto"/>
      </w:divBdr>
    </w:div>
    <w:div w:id="1394700840">
      <w:bodyDiv w:val="1"/>
      <w:marLeft w:val="0"/>
      <w:marRight w:val="0"/>
      <w:marTop w:val="0"/>
      <w:marBottom w:val="0"/>
      <w:divBdr>
        <w:top w:val="none" w:sz="0" w:space="0" w:color="auto"/>
        <w:left w:val="none" w:sz="0" w:space="0" w:color="auto"/>
        <w:bottom w:val="none" w:sz="0" w:space="0" w:color="auto"/>
        <w:right w:val="none" w:sz="0" w:space="0" w:color="auto"/>
      </w:divBdr>
    </w:div>
    <w:div w:id="1453094426">
      <w:bodyDiv w:val="1"/>
      <w:marLeft w:val="0"/>
      <w:marRight w:val="0"/>
      <w:marTop w:val="0"/>
      <w:marBottom w:val="0"/>
      <w:divBdr>
        <w:top w:val="none" w:sz="0" w:space="0" w:color="auto"/>
        <w:left w:val="none" w:sz="0" w:space="0" w:color="auto"/>
        <w:bottom w:val="none" w:sz="0" w:space="0" w:color="auto"/>
        <w:right w:val="none" w:sz="0" w:space="0" w:color="auto"/>
      </w:divBdr>
    </w:div>
    <w:div w:id="1462914901">
      <w:bodyDiv w:val="1"/>
      <w:marLeft w:val="0"/>
      <w:marRight w:val="0"/>
      <w:marTop w:val="0"/>
      <w:marBottom w:val="0"/>
      <w:divBdr>
        <w:top w:val="none" w:sz="0" w:space="0" w:color="auto"/>
        <w:left w:val="none" w:sz="0" w:space="0" w:color="auto"/>
        <w:bottom w:val="none" w:sz="0" w:space="0" w:color="auto"/>
        <w:right w:val="none" w:sz="0" w:space="0" w:color="auto"/>
      </w:divBdr>
    </w:div>
    <w:div w:id="1562866229">
      <w:bodyDiv w:val="1"/>
      <w:marLeft w:val="0"/>
      <w:marRight w:val="0"/>
      <w:marTop w:val="0"/>
      <w:marBottom w:val="0"/>
      <w:divBdr>
        <w:top w:val="none" w:sz="0" w:space="0" w:color="auto"/>
        <w:left w:val="none" w:sz="0" w:space="0" w:color="auto"/>
        <w:bottom w:val="none" w:sz="0" w:space="0" w:color="auto"/>
        <w:right w:val="none" w:sz="0" w:space="0" w:color="auto"/>
      </w:divBdr>
      <w:divsChild>
        <w:div w:id="1004744843">
          <w:marLeft w:val="432"/>
          <w:marRight w:val="0"/>
          <w:marTop w:val="0"/>
          <w:marBottom w:val="0"/>
          <w:divBdr>
            <w:top w:val="none" w:sz="0" w:space="0" w:color="auto"/>
            <w:left w:val="none" w:sz="0" w:space="0" w:color="auto"/>
            <w:bottom w:val="none" w:sz="0" w:space="0" w:color="auto"/>
            <w:right w:val="none" w:sz="0" w:space="0" w:color="auto"/>
          </w:divBdr>
        </w:div>
        <w:div w:id="1449617494">
          <w:marLeft w:val="432"/>
          <w:marRight w:val="0"/>
          <w:marTop w:val="0"/>
          <w:marBottom w:val="0"/>
          <w:divBdr>
            <w:top w:val="none" w:sz="0" w:space="0" w:color="auto"/>
            <w:left w:val="none" w:sz="0" w:space="0" w:color="auto"/>
            <w:bottom w:val="none" w:sz="0" w:space="0" w:color="auto"/>
            <w:right w:val="none" w:sz="0" w:space="0" w:color="auto"/>
          </w:divBdr>
        </w:div>
        <w:div w:id="1642155400">
          <w:marLeft w:val="432"/>
          <w:marRight w:val="0"/>
          <w:marTop w:val="0"/>
          <w:marBottom w:val="0"/>
          <w:divBdr>
            <w:top w:val="none" w:sz="0" w:space="0" w:color="auto"/>
            <w:left w:val="none" w:sz="0" w:space="0" w:color="auto"/>
            <w:bottom w:val="none" w:sz="0" w:space="0" w:color="auto"/>
            <w:right w:val="none" w:sz="0" w:space="0" w:color="auto"/>
          </w:divBdr>
        </w:div>
        <w:div w:id="960261310">
          <w:marLeft w:val="432"/>
          <w:marRight w:val="0"/>
          <w:marTop w:val="0"/>
          <w:marBottom w:val="0"/>
          <w:divBdr>
            <w:top w:val="none" w:sz="0" w:space="0" w:color="auto"/>
            <w:left w:val="none" w:sz="0" w:space="0" w:color="auto"/>
            <w:bottom w:val="none" w:sz="0" w:space="0" w:color="auto"/>
            <w:right w:val="none" w:sz="0" w:space="0" w:color="auto"/>
          </w:divBdr>
        </w:div>
        <w:div w:id="842008112">
          <w:marLeft w:val="432"/>
          <w:marRight w:val="0"/>
          <w:marTop w:val="0"/>
          <w:marBottom w:val="0"/>
          <w:divBdr>
            <w:top w:val="none" w:sz="0" w:space="0" w:color="auto"/>
            <w:left w:val="none" w:sz="0" w:space="0" w:color="auto"/>
            <w:bottom w:val="none" w:sz="0" w:space="0" w:color="auto"/>
            <w:right w:val="none" w:sz="0" w:space="0" w:color="auto"/>
          </w:divBdr>
        </w:div>
      </w:divsChild>
    </w:div>
    <w:div w:id="1582059570">
      <w:bodyDiv w:val="1"/>
      <w:marLeft w:val="0"/>
      <w:marRight w:val="0"/>
      <w:marTop w:val="0"/>
      <w:marBottom w:val="0"/>
      <w:divBdr>
        <w:top w:val="none" w:sz="0" w:space="0" w:color="auto"/>
        <w:left w:val="none" w:sz="0" w:space="0" w:color="auto"/>
        <w:bottom w:val="none" w:sz="0" w:space="0" w:color="auto"/>
        <w:right w:val="none" w:sz="0" w:space="0" w:color="auto"/>
      </w:divBdr>
    </w:div>
    <w:div w:id="1585410920">
      <w:bodyDiv w:val="1"/>
      <w:marLeft w:val="0"/>
      <w:marRight w:val="0"/>
      <w:marTop w:val="0"/>
      <w:marBottom w:val="0"/>
      <w:divBdr>
        <w:top w:val="none" w:sz="0" w:space="0" w:color="auto"/>
        <w:left w:val="none" w:sz="0" w:space="0" w:color="auto"/>
        <w:bottom w:val="none" w:sz="0" w:space="0" w:color="auto"/>
        <w:right w:val="none" w:sz="0" w:space="0" w:color="auto"/>
      </w:divBdr>
    </w:div>
    <w:div w:id="1616406584">
      <w:bodyDiv w:val="1"/>
      <w:marLeft w:val="0"/>
      <w:marRight w:val="0"/>
      <w:marTop w:val="0"/>
      <w:marBottom w:val="0"/>
      <w:divBdr>
        <w:top w:val="none" w:sz="0" w:space="0" w:color="auto"/>
        <w:left w:val="none" w:sz="0" w:space="0" w:color="auto"/>
        <w:bottom w:val="none" w:sz="0" w:space="0" w:color="auto"/>
        <w:right w:val="none" w:sz="0" w:space="0" w:color="auto"/>
      </w:divBdr>
    </w:div>
    <w:div w:id="1625191141">
      <w:bodyDiv w:val="1"/>
      <w:marLeft w:val="0"/>
      <w:marRight w:val="0"/>
      <w:marTop w:val="0"/>
      <w:marBottom w:val="0"/>
      <w:divBdr>
        <w:top w:val="none" w:sz="0" w:space="0" w:color="auto"/>
        <w:left w:val="none" w:sz="0" w:space="0" w:color="auto"/>
        <w:bottom w:val="none" w:sz="0" w:space="0" w:color="auto"/>
        <w:right w:val="none" w:sz="0" w:space="0" w:color="auto"/>
      </w:divBdr>
    </w:div>
    <w:div w:id="1750349545">
      <w:bodyDiv w:val="1"/>
      <w:marLeft w:val="0"/>
      <w:marRight w:val="0"/>
      <w:marTop w:val="0"/>
      <w:marBottom w:val="0"/>
      <w:divBdr>
        <w:top w:val="none" w:sz="0" w:space="0" w:color="auto"/>
        <w:left w:val="none" w:sz="0" w:space="0" w:color="auto"/>
        <w:bottom w:val="none" w:sz="0" w:space="0" w:color="auto"/>
        <w:right w:val="none" w:sz="0" w:space="0" w:color="auto"/>
      </w:divBdr>
    </w:div>
    <w:div w:id="1926306342">
      <w:bodyDiv w:val="1"/>
      <w:marLeft w:val="0"/>
      <w:marRight w:val="0"/>
      <w:marTop w:val="0"/>
      <w:marBottom w:val="0"/>
      <w:divBdr>
        <w:top w:val="none" w:sz="0" w:space="0" w:color="auto"/>
        <w:left w:val="none" w:sz="0" w:space="0" w:color="auto"/>
        <w:bottom w:val="none" w:sz="0" w:space="0" w:color="auto"/>
        <w:right w:val="none" w:sz="0" w:space="0" w:color="auto"/>
      </w:divBdr>
      <w:divsChild>
        <w:div w:id="1413968053">
          <w:marLeft w:val="446"/>
          <w:marRight w:val="0"/>
          <w:marTop w:val="0"/>
          <w:marBottom w:val="0"/>
          <w:divBdr>
            <w:top w:val="none" w:sz="0" w:space="0" w:color="auto"/>
            <w:left w:val="none" w:sz="0" w:space="0" w:color="auto"/>
            <w:bottom w:val="none" w:sz="0" w:space="0" w:color="auto"/>
            <w:right w:val="none" w:sz="0" w:space="0" w:color="auto"/>
          </w:divBdr>
        </w:div>
        <w:div w:id="1800881046">
          <w:marLeft w:val="446"/>
          <w:marRight w:val="0"/>
          <w:marTop w:val="0"/>
          <w:marBottom w:val="0"/>
          <w:divBdr>
            <w:top w:val="none" w:sz="0" w:space="0" w:color="auto"/>
            <w:left w:val="none" w:sz="0" w:space="0" w:color="auto"/>
            <w:bottom w:val="none" w:sz="0" w:space="0" w:color="auto"/>
            <w:right w:val="none" w:sz="0" w:space="0" w:color="auto"/>
          </w:divBdr>
        </w:div>
        <w:div w:id="706683369">
          <w:marLeft w:val="446"/>
          <w:marRight w:val="0"/>
          <w:marTop w:val="0"/>
          <w:marBottom w:val="0"/>
          <w:divBdr>
            <w:top w:val="none" w:sz="0" w:space="0" w:color="auto"/>
            <w:left w:val="none" w:sz="0" w:space="0" w:color="auto"/>
            <w:bottom w:val="none" w:sz="0" w:space="0" w:color="auto"/>
            <w:right w:val="none" w:sz="0" w:space="0" w:color="auto"/>
          </w:divBdr>
        </w:div>
      </w:divsChild>
    </w:div>
    <w:div w:id="1926647794">
      <w:bodyDiv w:val="1"/>
      <w:marLeft w:val="0"/>
      <w:marRight w:val="0"/>
      <w:marTop w:val="0"/>
      <w:marBottom w:val="0"/>
      <w:divBdr>
        <w:top w:val="none" w:sz="0" w:space="0" w:color="auto"/>
        <w:left w:val="none" w:sz="0" w:space="0" w:color="auto"/>
        <w:bottom w:val="none" w:sz="0" w:space="0" w:color="auto"/>
        <w:right w:val="none" w:sz="0" w:space="0" w:color="auto"/>
      </w:divBdr>
    </w:div>
    <w:div w:id="1927500358">
      <w:bodyDiv w:val="1"/>
      <w:marLeft w:val="0"/>
      <w:marRight w:val="0"/>
      <w:marTop w:val="0"/>
      <w:marBottom w:val="0"/>
      <w:divBdr>
        <w:top w:val="none" w:sz="0" w:space="0" w:color="auto"/>
        <w:left w:val="none" w:sz="0" w:space="0" w:color="auto"/>
        <w:bottom w:val="none" w:sz="0" w:space="0" w:color="auto"/>
        <w:right w:val="none" w:sz="0" w:space="0" w:color="auto"/>
      </w:divBdr>
      <w:divsChild>
        <w:div w:id="1743327666">
          <w:marLeft w:val="446"/>
          <w:marRight w:val="0"/>
          <w:marTop w:val="0"/>
          <w:marBottom w:val="0"/>
          <w:divBdr>
            <w:top w:val="none" w:sz="0" w:space="0" w:color="auto"/>
            <w:left w:val="none" w:sz="0" w:space="0" w:color="auto"/>
            <w:bottom w:val="none" w:sz="0" w:space="0" w:color="auto"/>
            <w:right w:val="none" w:sz="0" w:space="0" w:color="auto"/>
          </w:divBdr>
        </w:div>
        <w:div w:id="1220169965">
          <w:marLeft w:val="446"/>
          <w:marRight w:val="0"/>
          <w:marTop w:val="0"/>
          <w:marBottom w:val="0"/>
          <w:divBdr>
            <w:top w:val="none" w:sz="0" w:space="0" w:color="auto"/>
            <w:left w:val="none" w:sz="0" w:space="0" w:color="auto"/>
            <w:bottom w:val="none" w:sz="0" w:space="0" w:color="auto"/>
            <w:right w:val="none" w:sz="0" w:space="0" w:color="auto"/>
          </w:divBdr>
        </w:div>
        <w:div w:id="1231111033">
          <w:marLeft w:val="446"/>
          <w:marRight w:val="0"/>
          <w:marTop w:val="0"/>
          <w:marBottom w:val="0"/>
          <w:divBdr>
            <w:top w:val="none" w:sz="0" w:space="0" w:color="auto"/>
            <w:left w:val="none" w:sz="0" w:space="0" w:color="auto"/>
            <w:bottom w:val="none" w:sz="0" w:space="0" w:color="auto"/>
            <w:right w:val="none" w:sz="0" w:space="0" w:color="auto"/>
          </w:divBdr>
        </w:div>
        <w:div w:id="265116485">
          <w:marLeft w:val="446"/>
          <w:marRight w:val="0"/>
          <w:marTop w:val="0"/>
          <w:marBottom w:val="0"/>
          <w:divBdr>
            <w:top w:val="none" w:sz="0" w:space="0" w:color="auto"/>
            <w:left w:val="none" w:sz="0" w:space="0" w:color="auto"/>
            <w:bottom w:val="none" w:sz="0" w:space="0" w:color="auto"/>
            <w:right w:val="none" w:sz="0" w:space="0" w:color="auto"/>
          </w:divBdr>
        </w:div>
        <w:div w:id="111636357">
          <w:marLeft w:val="446"/>
          <w:marRight w:val="0"/>
          <w:marTop w:val="0"/>
          <w:marBottom w:val="0"/>
          <w:divBdr>
            <w:top w:val="none" w:sz="0" w:space="0" w:color="auto"/>
            <w:left w:val="none" w:sz="0" w:space="0" w:color="auto"/>
            <w:bottom w:val="none" w:sz="0" w:space="0" w:color="auto"/>
            <w:right w:val="none" w:sz="0" w:space="0" w:color="auto"/>
          </w:divBdr>
        </w:div>
      </w:divsChild>
    </w:div>
    <w:div w:id="1940601479">
      <w:bodyDiv w:val="1"/>
      <w:marLeft w:val="0"/>
      <w:marRight w:val="0"/>
      <w:marTop w:val="0"/>
      <w:marBottom w:val="0"/>
      <w:divBdr>
        <w:top w:val="none" w:sz="0" w:space="0" w:color="auto"/>
        <w:left w:val="none" w:sz="0" w:space="0" w:color="auto"/>
        <w:bottom w:val="none" w:sz="0" w:space="0" w:color="auto"/>
        <w:right w:val="none" w:sz="0" w:space="0" w:color="auto"/>
      </w:divBdr>
      <w:divsChild>
        <w:div w:id="996568741">
          <w:marLeft w:val="850"/>
          <w:marRight w:val="0"/>
          <w:marTop w:val="96"/>
          <w:marBottom w:val="0"/>
          <w:divBdr>
            <w:top w:val="none" w:sz="0" w:space="0" w:color="auto"/>
            <w:left w:val="none" w:sz="0" w:space="0" w:color="auto"/>
            <w:bottom w:val="none" w:sz="0" w:space="0" w:color="auto"/>
            <w:right w:val="none" w:sz="0" w:space="0" w:color="auto"/>
          </w:divBdr>
        </w:div>
        <w:div w:id="1514804994">
          <w:marLeft w:val="850"/>
          <w:marRight w:val="0"/>
          <w:marTop w:val="96"/>
          <w:marBottom w:val="0"/>
          <w:divBdr>
            <w:top w:val="none" w:sz="0" w:space="0" w:color="auto"/>
            <w:left w:val="none" w:sz="0" w:space="0" w:color="auto"/>
            <w:bottom w:val="none" w:sz="0" w:space="0" w:color="auto"/>
            <w:right w:val="none" w:sz="0" w:space="0" w:color="auto"/>
          </w:divBdr>
        </w:div>
        <w:div w:id="1347247584">
          <w:marLeft w:val="850"/>
          <w:marRight w:val="0"/>
          <w:marTop w:val="96"/>
          <w:marBottom w:val="0"/>
          <w:divBdr>
            <w:top w:val="none" w:sz="0" w:space="0" w:color="auto"/>
            <w:left w:val="none" w:sz="0" w:space="0" w:color="auto"/>
            <w:bottom w:val="none" w:sz="0" w:space="0" w:color="auto"/>
            <w:right w:val="none" w:sz="0" w:space="0" w:color="auto"/>
          </w:divBdr>
        </w:div>
        <w:div w:id="2027633872">
          <w:marLeft w:val="850"/>
          <w:marRight w:val="0"/>
          <w:marTop w:val="96"/>
          <w:marBottom w:val="0"/>
          <w:divBdr>
            <w:top w:val="none" w:sz="0" w:space="0" w:color="auto"/>
            <w:left w:val="none" w:sz="0" w:space="0" w:color="auto"/>
            <w:bottom w:val="none" w:sz="0" w:space="0" w:color="auto"/>
            <w:right w:val="none" w:sz="0" w:space="0" w:color="auto"/>
          </w:divBdr>
        </w:div>
        <w:div w:id="393697833">
          <w:marLeft w:val="850"/>
          <w:marRight w:val="0"/>
          <w:marTop w:val="96"/>
          <w:marBottom w:val="0"/>
          <w:divBdr>
            <w:top w:val="none" w:sz="0" w:space="0" w:color="auto"/>
            <w:left w:val="none" w:sz="0" w:space="0" w:color="auto"/>
            <w:bottom w:val="none" w:sz="0" w:space="0" w:color="auto"/>
            <w:right w:val="none" w:sz="0" w:space="0" w:color="auto"/>
          </w:divBdr>
        </w:div>
      </w:divsChild>
    </w:div>
    <w:div w:id="1942107982">
      <w:bodyDiv w:val="1"/>
      <w:marLeft w:val="0"/>
      <w:marRight w:val="0"/>
      <w:marTop w:val="0"/>
      <w:marBottom w:val="0"/>
      <w:divBdr>
        <w:top w:val="none" w:sz="0" w:space="0" w:color="auto"/>
        <w:left w:val="none" w:sz="0" w:space="0" w:color="auto"/>
        <w:bottom w:val="none" w:sz="0" w:space="0" w:color="auto"/>
        <w:right w:val="none" w:sz="0" w:space="0" w:color="auto"/>
      </w:divBdr>
    </w:div>
    <w:div w:id="2000037407">
      <w:bodyDiv w:val="1"/>
      <w:marLeft w:val="0"/>
      <w:marRight w:val="0"/>
      <w:marTop w:val="0"/>
      <w:marBottom w:val="0"/>
      <w:divBdr>
        <w:top w:val="none" w:sz="0" w:space="0" w:color="auto"/>
        <w:left w:val="none" w:sz="0" w:space="0" w:color="auto"/>
        <w:bottom w:val="none" w:sz="0" w:space="0" w:color="auto"/>
        <w:right w:val="none" w:sz="0" w:space="0" w:color="auto"/>
      </w:divBdr>
    </w:div>
    <w:div w:id="2052849951">
      <w:bodyDiv w:val="1"/>
      <w:marLeft w:val="0"/>
      <w:marRight w:val="0"/>
      <w:marTop w:val="0"/>
      <w:marBottom w:val="0"/>
      <w:divBdr>
        <w:top w:val="none" w:sz="0" w:space="0" w:color="auto"/>
        <w:left w:val="none" w:sz="0" w:space="0" w:color="auto"/>
        <w:bottom w:val="none" w:sz="0" w:space="0" w:color="auto"/>
        <w:right w:val="none" w:sz="0" w:space="0" w:color="auto"/>
      </w:divBdr>
    </w:div>
    <w:div w:id="2073304315">
      <w:bodyDiv w:val="1"/>
      <w:marLeft w:val="0"/>
      <w:marRight w:val="0"/>
      <w:marTop w:val="0"/>
      <w:marBottom w:val="0"/>
      <w:divBdr>
        <w:top w:val="none" w:sz="0" w:space="0" w:color="auto"/>
        <w:left w:val="none" w:sz="0" w:space="0" w:color="auto"/>
        <w:bottom w:val="none" w:sz="0" w:space="0" w:color="auto"/>
        <w:right w:val="none" w:sz="0" w:space="0" w:color="auto"/>
      </w:divBdr>
    </w:div>
    <w:div w:id="2106610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2.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4.emf"/><Relationship Id="rId28"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image" Target="media/image1.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3.emf"/><Relationship Id="rId27" Type="http://schemas.openxmlformats.org/officeDocument/2006/relationships/footer" Target="footer1.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Documents%20and%20Settings\deefoper18\Escritorio\Informe%20SESAN\Cuadros%20y%20graficas%20informe%2030062016.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ecojon\AppData\Local\Microsoft\Windows\Temporary%20Internet%20Files\Content.Outlook\VX4U2092\Libro2.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Gr&#225;fico%20en%20Microsoft%20Word"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4609201995445946"/>
          <c:y val="5.6199475065616802E-2"/>
        </c:manualLayout>
      </c:layout>
      <c:overlay val="0"/>
      <c:txPr>
        <a:bodyPr/>
        <a:lstStyle/>
        <a:p>
          <a:pPr>
            <a:defRPr lang="es-GT" sz="1001"/>
          </a:pPr>
          <a:endParaRPr lang="es-GT"/>
        </a:p>
      </c:txPr>
    </c:title>
    <c:autoTitleDeleted val="0"/>
    <c:view3D>
      <c:rotX val="30"/>
      <c:rotY val="10"/>
      <c:rAngAx val="0"/>
    </c:view3D>
    <c:floor>
      <c:thickness val="0"/>
    </c:floor>
    <c:sideWall>
      <c:thickness val="0"/>
    </c:sideWall>
    <c:backWall>
      <c:thickness val="0"/>
    </c:backWall>
    <c:plotArea>
      <c:layout>
        <c:manualLayout>
          <c:layoutTarget val="inner"/>
          <c:xMode val="edge"/>
          <c:yMode val="edge"/>
          <c:x val="2.4643659838467025E-3"/>
          <c:y val="0.24456030331525191"/>
          <c:w val="0.99095140270478765"/>
          <c:h val="0.67867256074503668"/>
        </c:manualLayout>
      </c:layout>
      <c:pie3DChart>
        <c:varyColors val="1"/>
        <c:ser>
          <c:idx val="0"/>
          <c:order val="0"/>
          <c:tx>
            <c:strRef>
              <c:f>'direc Ind15'!$B$1</c:f>
              <c:strCache>
                <c:ptCount val="1"/>
                <c:pt idx="0">
                  <c:v>2015</c:v>
                </c:pt>
              </c:strCache>
            </c:strRef>
          </c:tx>
          <c:spPr>
            <a:solidFill>
              <a:srgbClr val="C0433A"/>
            </a:solidFill>
            <a:scene3d>
              <a:camera prst="orthographicFront"/>
              <a:lightRig rig="threePt" dir="t"/>
            </a:scene3d>
            <a:sp3d>
              <a:bevelT/>
            </a:sp3d>
          </c:spPr>
          <c:explosion val="6"/>
          <c:dPt>
            <c:idx val="0"/>
            <c:bubble3D val="0"/>
            <c:spPr>
              <a:solidFill>
                <a:srgbClr val="0070C0">
                  <a:alpha val="87451"/>
                </a:srgbClr>
              </a:solidFill>
              <a:scene3d>
                <a:camera prst="orthographicFront"/>
                <a:lightRig rig="threePt" dir="t"/>
              </a:scene3d>
              <a:sp3d>
                <a:bevelT/>
              </a:sp3d>
            </c:spPr>
            <c:extLst>
              <c:ext xmlns:c16="http://schemas.microsoft.com/office/drawing/2014/chart" uri="{C3380CC4-5D6E-409C-BE32-E72D297353CC}">
                <c16:uniqueId val="{00000001-D838-47B1-9697-7D7B23F401F7}"/>
              </c:ext>
            </c:extLst>
          </c:dPt>
          <c:dLbls>
            <c:dLbl>
              <c:idx val="0"/>
              <c:layout>
                <c:manualLayout>
                  <c:x val="-4.6807233360386891E-2"/>
                  <c:y val="-0.1742171925833665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838-47B1-9697-7D7B23F401F7}"/>
                </c:ext>
              </c:extLst>
            </c:dLbl>
            <c:dLbl>
              <c:idx val="1"/>
              <c:layout>
                <c:manualLayout>
                  <c:x val="3.9457833345630411E-2"/>
                  <c:y val="-0.3538257530208539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D838-47B1-9697-7D7B23F401F7}"/>
                </c:ext>
              </c:extLst>
            </c:dLbl>
            <c:numFmt formatCode="0.0%" sourceLinked="0"/>
            <c:spPr>
              <a:noFill/>
              <a:ln>
                <a:noFill/>
              </a:ln>
              <a:effectLst/>
            </c:spPr>
            <c:txPr>
              <a:bodyPr/>
              <a:lstStyle/>
              <a:p>
                <a:pPr>
                  <a:defRPr lang="es-GT" sz="701" b="1"/>
                </a:pPr>
                <a:endParaRPr lang="es-GT"/>
              </a:p>
            </c:txPr>
            <c:showLegendKey val="0"/>
            <c:showVal val="0"/>
            <c:showCatName val="1"/>
            <c:showSerName val="0"/>
            <c:showPercent val="1"/>
            <c:showBubbleSize val="0"/>
            <c:showLeaderLines val="1"/>
            <c:extLst>
              <c:ext xmlns:c15="http://schemas.microsoft.com/office/drawing/2012/chart" uri="{CE6537A1-D6FC-4f65-9D91-7224C49458BB}"/>
            </c:extLst>
          </c:dLbls>
          <c:cat>
            <c:strRef>
              <c:f>'direc Ind15'!$A$2:$A$3</c:f>
              <c:strCache>
                <c:ptCount val="2"/>
                <c:pt idx="0">
                  <c:v>Directos</c:v>
                </c:pt>
                <c:pt idx="1">
                  <c:v>Indirectos</c:v>
                </c:pt>
              </c:strCache>
            </c:strRef>
          </c:cat>
          <c:val>
            <c:numRef>
              <c:f>'direc Ind15'!$B$2:$B$3</c:f>
              <c:numCache>
                <c:formatCode>#,##0.0</c:formatCode>
                <c:ptCount val="2"/>
                <c:pt idx="0">
                  <c:v>8767.4060002499973</c:v>
                </c:pt>
                <c:pt idx="1">
                  <c:v>15727.151009790001</c:v>
                </c:pt>
              </c:numCache>
            </c:numRef>
          </c:val>
          <c:extLst>
            <c:ext xmlns:c16="http://schemas.microsoft.com/office/drawing/2014/chart" uri="{C3380CC4-5D6E-409C-BE32-E72D297353CC}">
              <c16:uniqueId val="{00000003-D838-47B1-9697-7D7B23F401F7}"/>
            </c:ext>
          </c:extLst>
        </c:ser>
        <c:dLbls>
          <c:showLegendKey val="0"/>
          <c:showVal val="0"/>
          <c:showCatName val="0"/>
          <c:showSerName val="0"/>
          <c:showPercent val="0"/>
          <c:showBubbleSize val="0"/>
          <c:showLeaderLines val="1"/>
        </c:dLbls>
      </c:pie3DChart>
      <c:spPr>
        <a:noFill/>
        <a:ln w="25419">
          <a:noFill/>
        </a:ln>
      </c:spPr>
    </c:plotArea>
    <c:plotVisOnly val="1"/>
    <c:dispBlanksAs val="zero"/>
    <c:showDLblsOverMax val="0"/>
  </c:chart>
  <c:spPr>
    <a:ln>
      <a:noFill/>
    </a:ln>
  </c:spPr>
  <c:txPr>
    <a:bodyPr/>
    <a:lstStyle/>
    <a:p>
      <a:pPr>
        <a:defRPr sz="801">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154030962172276E-2"/>
          <c:y val="4.0703052728954671E-2"/>
          <c:w val="0.91512754576888589"/>
          <c:h val="0.6435040432209187"/>
        </c:manualLayout>
      </c:layout>
      <c:barChart>
        <c:barDir val="col"/>
        <c:grouping val="clustered"/>
        <c:varyColors val="0"/>
        <c:ser>
          <c:idx val="0"/>
          <c:order val="0"/>
          <c:tx>
            <c:strRef>
              <c:f>'Fte 11'!$C$3</c:f>
              <c:strCache>
                <c:ptCount val="1"/>
                <c:pt idx="0">
                  <c:v>% Ejecución Fuente 11</c:v>
                </c:pt>
              </c:strCache>
            </c:strRef>
          </c:tx>
          <c:invertIfNegative val="0"/>
          <c:dLbls>
            <c:dLbl>
              <c:idx val="8"/>
              <c:layout>
                <c:manualLayout>
                  <c:x val="0"/>
                  <c:y val="-1.1100066075983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FCF-44BD-9D54-B5B3AC244D91}"/>
                </c:ext>
              </c:extLst>
            </c:dLbl>
            <c:dLbl>
              <c:idx val="9"/>
              <c:layout>
                <c:manualLayout>
                  <c:x val="0"/>
                  <c:y val="-1.4800088101311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CF-44BD-9D54-B5B3AC244D91}"/>
                </c:ext>
              </c:extLst>
            </c:dLbl>
            <c:dLbl>
              <c:idx val="10"/>
              <c:layout>
                <c:manualLayout>
                  <c:x val="0"/>
                  <c:y val="1.1100066075983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FCF-44BD-9D54-B5B3AC244D91}"/>
                </c:ext>
              </c:extLst>
            </c:dLbl>
            <c:dLbl>
              <c:idx val="11"/>
              <c:layout>
                <c:manualLayout>
                  <c:x val="0"/>
                  <c:y val="1.1100066075983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FCF-44BD-9D54-B5B3AC244D91}"/>
                </c:ext>
              </c:extLst>
            </c:dLbl>
            <c:dLbl>
              <c:idx val="12"/>
              <c:layout>
                <c:manualLayout>
                  <c:x val="-1.7445735041154489E-7"/>
                  <c:y val="1.1100066075983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FCF-44BD-9D54-B5B3AC244D91}"/>
                </c:ext>
              </c:extLst>
            </c:dLbl>
            <c:dLbl>
              <c:idx val="13"/>
              <c:layout>
                <c:manualLayout>
                  <c:x val="0"/>
                  <c:y val="1.1100066075983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FCF-44BD-9D54-B5B3AC244D91}"/>
                </c:ext>
              </c:extLst>
            </c:dLbl>
            <c:dLbl>
              <c:idx val="14"/>
              <c:layout>
                <c:manualLayout>
                  <c:x val="0"/>
                  <c:y val="1.1100066075983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FCF-44BD-9D54-B5B3AC244D91}"/>
                </c:ext>
              </c:extLst>
            </c:dLbl>
            <c:dLbl>
              <c:idx val="15"/>
              <c:layout>
                <c:manualLayout>
                  <c:x val="0"/>
                  <c:y val="7.40004405065592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FCF-44BD-9D54-B5B3AC244D91}"/>
                </c:ext>
              </c:extLst>
            </c:dLbl>
            <c:spPr>
              <a:noFill/>
              <a:ln>
                <a:noFill/>
              </a:ln>
              <a:effectLst/>
            </c:spPr>
            <c:txPr>
              <a:bodyPr/>
              <a:lstStyle/>
              <a:p>
                <a:pPr>
                  <a:defRPr lang="es-GT" sz="700"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'Fte 11'!$B$4:$B$22</c:f>
              <c:strCache>
                <c:ptCount val="19"/>
                <c:pt idx="0">
                  <c:v>Deuda</c:v>
                </c:pt>
                <c:pt idx="1">
                  <c:v>Defensa</c:v>
                </c:pt>
                <c:pt idx="2">
                  <c:v>Educación</c:v>
                </c:pt>
                <c:pt idx="3">
                  <c:v>Procuraduría</c:v>
                </c:pt>
                <c:pt idx="4">
                  <c:v>Salud</c:v>
                </c:pt>
                <c:pt idx="5">
                  <c:v>Finanzas</c:v>
                </c:pt>
                <c:pt idx="6">
                  <c:v>Relaciones </c:v>
                </c:pt>
                <c:pt idx="7">
                  <c:v>Trabajo</c:v>
                </c:pt>
                <c:pt idx="8">
                  <c:v>Obligaciones</c:v>
                </c:pt>
                <c:pt idx="9">
                  <c:v>Cultura</c:v>
                </c:pt>
                <c:pt idx="10">
                  <c:v>Energía</c:v>
                </c:pt>
                <c:pt idx="11">
                  <c:v>Gobernación</c:v>
                </c:pt>
                <c:pt idx="12">
                  <c:v>Ambiente</c:v>
                </c:pt>
                <c:pt idx="13">
                  <c:v>Presidencia</c:v>
                </c:pt>
                <c:pt idx="14">
                  <c:v>Secretarías</c:v>
                </c:pt>
                <c:pt idx="15">
                  <c:v>Economía</c:v>
                </c:pt>
                <c:pt idx="16">
                  <c:v>Desarrollo</c:v>
                </c:pt>
                <c:pt idx="17">
                  <c:v>Agricultura</c:v>
                </c:pt>
                <c:pt idx="18">
                  <c:v>Comunicaciones</c:v>
                </c:pt>
              </c:strCache>
            </c:strRef>
          </c:cat>
          <c:val>
            <c:numRef>
              <c:f>'Fte 11'!$C$4:$C$22</c:f>
              <c:numCache>
                <c:formatCode>0.0</c:formatCode>
                <c:ptCount val="19"/>
                <c:pt idx="0">
                  <c:v>52.935781919893607</c:v>
                </c:pt>
                <c:pt idx="1">
                  <c:v>47.457823641950242</c:v>
                </c:pt>
                <c:pt idx="2">
                  <c:v>46.277816818927164</c:v>
                </c:pt>
                <c:pt idx="3">
                  <c:v>45.714285714285715</c:v>
                </c:pt>
                <c:pt idx="4">
                  <c:v>45.098558279710019</c:v>
                </c:pt>
                <c:pt idx="5">
                  <c:v>44.731332868108879</c:v>
                </c:pt>
                <c:pt idx="6">
                  <c:v>44.456492274329101</c:v>
                </c:pt>
                <c:pt idx="7">
                  <c:v>44.342105263157912</c:v>
                </c:pt>
                <c:pt idx="8">
                  <c:v>43.328539389124138</c:v>
                </c:pt>
                <c:pt idx="9">
                  <c:v>42.826892535733194</c:v>
                </c:pt>
                <c:pt idx="10">
                  <c:v>41.827768014059771</c:v>
                </c:pt>
                <c:pt idx="11">
                  <c:v>41.550224097020816</c:v>
                </c:pt>
                <c:pt idx="12">
                  <c:v>41.463414634146346</c:v>
                </c:pt>
                <c:pt idx="13">
                  <c:v>41.11874386653583</c:v>
                </c:pt>
                <c:pt idx="14">
                  <c:v>40.912305516265917</c:v>
                </c:pt>
                <c:pt idx="15">
                  <c:v>40.810202550637626</c:v>
                </c:pt>
                <c:pt idx="16">
                  <c:v>32.528589580686145</c:v>
                </c:pt>
                <c:pt idx="17">
                  <c:v>31.031900554141078</c:v>
                </c:pt>
                <c:pt idx="18">
                  <c:v>25.917342603321732</c:v>
                </c:pt>
              </c:numCache>
            </c:numRef>
          </c:val>
          <c:extLst>
            <c:ext xmlns:c16="http://schemas.microsoft.com/office/drawing/2014/chart" uri="{C3380CC4-5D6E-409C-BE32-E72D297353CC}">
              <c16:uniqueId val="{00000008-BFCF-44BD-9D54-B5B3AC244D91}"/>
            </c:ext>
          </c:extLst>
        </c:ser>
        <c:dLbls>
          <c:showLegendKey val="0"/>
          <c:showVal val="0"/>
          <c:showCatName val="0"/>
          <c:showSerName val="0"/>
          <c:showPercent val="0"/>
          <c:showBubbleSize val="0"/>
        </c:dLbls>
        <c:gapWidth val="150"/>
        <c:axId val="146334464"/>
        <c:axId val="146336000"/>
      </c:barChart>
      <c:lineChart>
        <c:grouping val="standard"/>
        <c:varyColors val="0"/>
        <c:ser>
          <c:idx val="1"/>
          <c:order val="1"/>
          <c:tx>
            <c:strRef>
              <c:f>'Fte 11'!$D$3</c:f>
              <c:strCache>
                <c:ptCount val="1"/>
                <c:pt idx="0">
                  <c:v>Promedio</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9-BFCF-44BD-9D54-B5B3AC244D91}"/>
                </c:ext>
              </c:extLst>
            </c:dLbl>
            <c:dLbl>
              <c:idx val="1"/>
              <c:delete val="1"/>
              <c:extLst>
                <c:ext xmlns:c15="http://schemas.microsoft.com/office/drawing/2012/chart" uri="{CE6537A1-D6FC-4f65-9D91-7224C49458BB}"/>
                <c:ext xmlns:c16="http://schemas.microsoft.com/office/drawing/2014/chart" uri="{C3380CC4-5D6E-409C-BE32-E72D297353CC}">
                  <c16:uniqueId val="{0000000A-BFCF-44BD-9D54-B5B3AC244D91}"/>
                </c:ext>
              </c:extLst>
            </c:dLbl>
            <c:dLbl>
              <c:idx val="2"/>
              <c:delete val="1"/>
              <c:extLst>
                <c:ext xmlns:c15="http://schemas.microsoft.com/office/drawing/2012/chart" uri="{CE6537A1-D6FC-4f65-9D91-7224C49458BB}"/>
                <c:ext xmlns:c16="http://schemas.microsoft.com/office/drawing/2014/chart" uri="{C3380CC4-5D6E-409C-BE32-E72D297353CC}">
                  <c16:uniqueId val="{0000000B-BFCF-44BD-9D54-B5B3AC244D91}"/>
                </c:ext>
              </c:extLst>
            </c:dLbl>
            <c:dLbl>
              <c:idx val="3"/>
              <c:delete val="1"/>
              <c:extLst>
                <c:ext xmlns:c15="http://schemas.microsoft.com/office/drawing/2012/chart" uri="{CE6537A1-D6FC-4f65-9D91-7224C49458BB}"/>
                <c:ext xmlns:c16="http://schemas.microsoft.com/office/drawing/2014/chart" uri="{C3380CC4-5D6E-409C-BE32-E72D297353CC}">
                  <c16:uniqueId val="{0000000C-BFCF-44BD-9D54-B5B3AC244D91}"/>
                </c:ext>
              </c:extLst>
            </c:dLbl>
            <c:dLbl>
              <c:idx val="4"/>
              <c:delete val="1"/>
              <c:extLst>
                <c:ext xmlns:c15="http://schemas.microsoft.com/office/drawing/2012/chart" uri="{CE6537A1-D6FC-4f65-9D91-7224C49458BB}"/>
                <c:ext xmlns:c16="http://schemas.microsoft.com/office/drawing/2014/chart" uri="{C3380CC4-5D6E-409C-BE32-E72D297353CC}">
                  <c16:uniqueId val="{0000000D-BFCF-44BD-9D54-B5B3AC244D91}"/>
                </c:ext>
              </c:extLst>
            </c:dLbl>
            <c:dLbl>
              <c:idx val="5"/>
              <c:delete val="1"/>
              <c:extLst>
                <c:ext xmlns:c15="http://schemas.microsoft.com/office/drawing/2012/chart" uri="{CE6537A1-D6FC-4f65-9D91-7224C49458BB}"/>
                <c:ext xmlns:c16="http://schemas.microsoft.com/office/drawing/2014/chart" uri="{C3380CC4-5D6E-409C-BE32-E72D297353CC}">
                  <c16:uniqueId val="{0000000E-BFCF-44BD-9D54-B5B3AC244D91}"/>
                </c:ext>
              </c:extLst>
            </c:dLbl>
            <c:dLbl>
              <c:idx val="6"/>
              <c:delete val="1"/>
              <c:extLst>
                <c:ext xmlns:c15="http://schemas.microsoft.com/office/drawing/2012/chart" uri="{CE6537A1-D6FC-4f65-9D91-7224C49458BB}"/>
                <c:ext xmlns:c16="http://schemas.microsoft.com/office/drawing/2014/chart" uri="{C3380CC4-5D6E-409C-BE32-E72D297353CC}">
                  <c16:uniqueId val="{0000000F-BFCF-44BD-9D54-B5B3AC244D91}"/>
                </c:ext>
              </c:extLst>
            </c:dLbl>
            <c:dLbl>
              <c:idx val="7"/>
              <c:delete val="1"/>
              <c:extLst>
                <c:ext xmlns:c15="http://schemas.microsoft.com/office/drawing/2012/chart" uri="{CE6537A1-D6FC-4f65-9D91-7224C49458BB}"/>
                <c:ext xmlns:c16="http://schemas.microsoft.com/office/drawing/2014/chart" uri="{C3380CC4-5D6E-409C-BE32-E72D297353CC}">
                  <c16:uniqueId val="{00000010-BFCF-44BD-9D54-B5B3AC244D91}"/>
                </c:ext>
              </c:extLst>
            </c:dLbl>
            <c:dLbl>
              <c:idx val="8"/>
              <c:delete val="1"/>
              <c:extLst>
                <c:ext xmlns:c15="http://schemas.microsoft.com/office/drawing/2012/chart" uri="{CE6537A1-D6FC-4f65-9D91-7224C49458BB}"/>
                <c:ext xmlns:c16="http://schemas.microsoft.com/office/drawing/2014/chart" uri="{C3380CC4-5D6E-409C-BE32-E72D297353CC}">
                  <c16:uniqueId val="{00000011-BFCF-44BD-9D54-B5B3AC244D91}"/>
                </c:ext>
              </c:extLst>
            </c:dLbl>
            <c:dLbl>
              <c:idx val="9"/>
              <c:delete val="1"/>
              <c:extLst>
                <c:ext xmlns:c15="http://schemas.microsoft.com/office/drawing/2012/chart" uri="{CE6537A1-D6FC-4f65-9D91-7224C49458BB}"/>
                <c:ext xmlns:c16="http://schemas.microsoft.com/office/drawing/2014/chart" uri="{C3380CC4-5D6E-409C-BE32-E72D297353CC}">
                  <c16:uniqueId val="{00000012-BFCF-44BD-9D54-B5B3AC244D91}"/>
                </c:ext>
              </c:extLst>
            </c:dLbl>
            <c:dLbl>
              <c:idx val="10"/>
              <c:delete val="1"/>
              <c:extLst>
                <c:ext xmlns:c15="http://schemas.microsoft.com/office/drawing/2012/chart" uri="{CE6537A1-D6FC-4f65-9D91-7224C49458BB}"/>
                <c:ext xmlns:c16="http://schemas.microsoft.com/office/drawing/2014/chart" uri="{C3380CC4-5D6E-409C-BE32-E72D297353CC}">
                  <c16:uniqueId val="{00000013-BFCF-44BD-9D54-B5B3AC244D91}"/>
                </c:ext>
              </c:extLst>
            </c:dLbl>
            <c:dLbl>
              <c:idx val="11"/>
              <c:delete val="1"/>
              <c:extLst>
                <c:ext xmlns:c15="http://schemas.microsoft.com/office/drawing/2012/chart" uri="{CE6537A1-D6FC-4f65-9D91-7224C49458BB}"/>
                <c:ext xmlns:c16="http://schemas.microsoft.com/office/drawing/2014/chart" uri="{C3380CC4-5D6E-409C-BE32-E72D297353CC}">
                  <c16:uniqueId val="{00000014-BFCF-44BD-9D54-B5B3AC244D91}"/>
                </c:ext>
              </c:extLst>
            </c:dLbl>
            <c:dLbl>
              <c:idx val="12"/>
              <c:delete val="1"/>
              <c:extLst>
                <c:ext xmlns:c15="http://schemas.microsoft.com/office/drawing/2012/chart" uri="{CE6537A1-D6FC-4f65-9D91-7224C49458BB}"/>
                <c:ext xmlns:c16="http://schemas.microsoft.com/office/drawing/2014/chart" uri="{C3380CC4-5D6E-409C-BE32-E72D297353CC}">
                  <c16:uniqueId val="{00000015-BFCF-44BD-9D54-B5B3AC244D91}"/>
                </c:ext>
              </c:extLst>
            </c:dLbl>
            <c:dLbl>
              <c:idx val="13"/>
              <c:delete val="1"/>
              <c:extLst>
                <c:ext xmlns:c15="http://schemas.microsoft.com/office/drawing/2012/chart" uri="{CE6537A1-D6FC-4f65-9D91-7224C49458BB}"/>
                <c:ext xmlns:c16="http://schemas.microsoft.com/office/drawing/2014/chart" uri="{C3380CC4-5D6E-409C-BE32-E72D297353CC}">
                  <c16:uniqueId val="{00000016-BFCF-44BD-9D54-B5B3AC244D91}"/>
                </c:ext>
              </c:extLst>
            </c:dLbl>
            <c:dLbl>
              <c:idx val="14"/>
              <c:delete val="1"/>
              <c:extLst>
                <c:ext xmlns:c15="http://schemas.microsoft.com/office/drawing/2012/chart" uri="{CE6537A1-D6FC-4f65-9D91-7224C49458BB}"/>
                <c:ext xmlns:c16="http://schemas.microsoft.com/office/drawing/2014/chart" uri="{C3380CC4-5D6E-409C-BE32-E72D297353CC}">
                  <c16:uniqueId val="{00000017-BFCF-44BD-9D54-B5B3AC244D91}"/>
                </c:ext>
              </c:extLst>
            </c:dLbl>
            <c:dLbl>
              <c:idx val="15"/>
              <c:delete val="1"/>
              <c:extLst>
                <c:ext xmlns:c15="http://schemas.microsoft.com/office/drawing/2012/chart" uri="{CE6537A1-D6FC-4f65-9D91-7224C49458BB}"/>
                <c:ext xmlns:c16="http://schemas.microsoft.com/office/drawing/2014/chart" uri="{C3380CC4-5D6E-409C-BE32-E72D297353CC}">
                  <c16:uniqueId val="{00000018-BFCF-44BD-9D54-B5B3AC244D91}"/>
                </c:ext>
              </c:extLst>
            </c:dLbl>
            <c:dLbl>
              <c:idx val="16"/>
              <c:delete val="1"/>
              <c:extLst>
                <c:ext xmlns:c15="http://schemas.microsoft.com/office/drawing/2012/chart" uri="{CE6537A1-D6FC-4f65-9D91-7224C49458BB}"/>
                <c:ext xmlns:c16="http://schemas.microsoft.com/office/drawing/2014/chart" uri="{C3380CC4-5D6E-409C-BE32-E72D297353CC}">
                  <c16:uniqueId val="{00000019-BFCF-44BD-9D54-B5B3AC244D91}"/>
                </c:ext>
              </c:extLst>
            </c:dLbl>
            <c:dLbl>
              <c:idx val="17"/>
              <c:delete val="1"/>
              <c:extLst>
                <c:ext xmlns:c15="http://schemas.microsoft.com/office/drawing/2012/chart" uri="{CE6537A1-D6FC-4f65-9D91-7224C49458BB}"/>
                <c:ext xmlns:c16="http://schemas.microsoft.com/office/drawing/2014/chart" uri="{C3380CC4-5D6E-409C-BE32-E72D297353CC}">
                  <c16:uniqueId val="{0000001A-BFCF-44BD-9D54-B5B3AC244D91}"/>
                </c:ext>
              </c:extLst>
            </c:dLbl>
            <c:spPr>
              <a:noFill/>
              <a:ln>
                <a:noFill/>
              </a:ln>
              <a:effectLst/>
            </c:spPr>
            <c:txPr>
              <a:bodyPr/>
              <a:lstStyle/>
              <a:p>
                <a:pPr>
                  <a:defRPr lang="es-GT" sz="700"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'Fte 11'!$B$4:$B$22</c:f>
              <c:strCache>
                <c:ptCount val="19"/>
                <c:pt idx="0">
                  <c:v>Deuda</c:v>
                </c:pt>
                <c:pt idx="1">
                  <c:v>Defensa</c:v>
                </c:pt>
                <c:pt idx="2">
                  <c:v>Educación</c:v>
                </c:pt>
                <c:pt idx="3">
                  <c:v>Procuraduría</c:v>
                </c:pt>
                <c:pt idx="4">
                  <c:v>Salud</c:v>
                </c:pt>
                <c:pt idx="5">
                  <c:v>Finanzas</c:v>
                </c:pt>
                <c:pt idx="6">
                  <c:v>Relaciones </c:v>
                </c:pt>
                <c:pt idx="7">
                  <c:v>Trabajo</c:v>
                </c:pt>
                <c:pt idx="8">
                  <c:v>Obligaciones</c:v>
                </c:pt>
                <c:pt idx="9">
                  <c:v>Cultura</c:v>
                </c:pt>
                <c:pt idx="10">
                  <c:v>Energía</c:v>
                </c:pt>
                <c:pt idx="11">
                  <c:v>Gobernación</c:v>
                </c:pt>
                <c:pt idx="12">
                  <c:v>Ambiente</c:v>
                </c:pt>
                <c:pt idx="13">
                  <c:v>Presidencia</c:v>
                </c:pt>
                <c:pt idx="14">
                  <c:v>Secretarías</c:v>
                </c:pt>
                <c:pt idx="15">
                  <c:v>Economía</c:v>
                </c:pt>
                <c:pt idx="16">
                  <c:v>Desarrollo</c:v>
                </c:pt>
                <c:pt idx="17">
                  <c:v>Agricultura</c:v>
                </c:pt>
                <c:pt idx="18">
                  <c:v>Comunicaciones</c:v>
                </c:pt>
              </c:strCache>
            </c:strRef>
          </c:cat>
          <c:val>
            <c:numRef>
              <c:f>'Fte 11'!$D$4:$D$22</c:f>
              <c:numCache>
                <c:formatCode>0.0</c:formatCode>
                <c:ptCount val="19"/>
                <c:pt idx="0">
                  <c:v>45</c:v>
                </c:pt>
                <c:pt idx="1">
                  <c:v>45</c:v>
                </c:pt>
                <c:pt idx="2">
                  <c:v>45</c:v>
                </c:pt>
                <c:pt idx="3">
                  <c:v>45</c:v>
                </c:pt>
                <c:pt idx="4">
                  <c:v>45</c:v>
                </c:pt>
                <c:pt idx="5">
                  <c:v>45</c:v>
                </c:pt>
                <c:pt idx="6">
                  <c:v>45</c:v>
                </c:pt>
                <c:pt idx="7">
                  <c:v>45</c:v>
                </c:pt>
                <c:pt idx="8">
                  <c:v>45</c:v>
                </c:pt>
                <c:pt idx="9">
                  <c:v>45</c:v>
                </c:pt>
                <c:pt idx="10">
                  <c:v>45</c:v>
                </c:pt>
                <c:pt idx="11">
                  <c:v>45</c:v>
                </c:pt>
                <c:pt idx="12">
                  <c:v>45</c:v>
                </c:pt>
                <c:pt idx="13">
                  <c:v>45</c:v>
                </c:pt>
                <c:pt idx="14">
                  <c:v>45</c:v>
                </c:pt>
                <c:pt idx="15">
                  <c:v>45</c:v>
                </c:pt>
                <c:pt idx="16">
                  <c:v>45</c:v>
                </c:pt>
                <c:pt idx="17">
                  <c:v>45</c:v>
                </c:pt>
                <c:pt idx="18">
                  <c:v>45</c:v>
                </c:pt>
              </c:numCache>
            </c:numRef>
          </c:val>
          <c:smooth val="0"/>
          <c:extLst>
            <c:ext xmlns:c16="http://schemas.microsoft.com/office/drawing/2014/chart" uri="{C3380CC4-5D6E-409C-BE32-E72D297353CC}">
              <c16:uniqueId val="{0000001B-BFCF-44BD-9D54-B5B3AC244D91}"/>
            </c:ext>
          </c:extLst>
        </c:ser>
        <c:dLbls>
          <c:showLegendKey val="0"/>
          <c:showVal val="0"/>
          <c:showCatName val="0"/>
          <c:showSerName val="0"/>
          <c:showPercent val="0"/>
          <c:showBubbleSize val="0"/>
        </c:dLbls>
        <c:marker val="1"/>
        <c:smooth val="0"/>
        <c:axId val="146334464"/>
        <c:axId val="146336000"/>
      </c:lineChart>
      <c:catAx>
        <c:axId val="146334464"/>
        <c:scaling>
          <c:orientation val="minMax"/>
        </c:scaling>
        <c:delete val="0"/>
        <c:axPos val="b"/>
        <c:numFmt formatCode="General" sourceLinked="0"/>
        <c:majorTickMark val="out"/>
        <c:minorTickMark val="none"/>
        <c:tickLblPos val="nextTo"/>
        <c:txPr>
          <a:bodyPr rot="-5400000" vert="horz"/>
          <a:lstStyle/>
          <a:p>
            <a:pPr>
              <a:defRPr lang="es-GT" sz="800"/>
            </a:pPr>
            <a:endParaRPr lang="es-GT"/>
          </a:p>
        </c:txPr>
        <c:crossAx val="146336000"/>
        <c:crosses val="autoZero"/>
        <c:auto val="1"/>
        <c:lblAlgn val="ctr"/>
        <c:lblOffset val="100"/>
        <c:noMultiLvlLbl val="0"/>
      </c:catAx>
      <c:valAx>
        <c:axId val="146336000"/>
        <c:scaling>
          <c:orientation val="minMax"/>
        </c:scaling>
        <c:delete val="0"/>
        <c:axPos val="l"/>
        <c:numFmt formatCode="0.0" sourceLinked="1"/>
        <c:majorTickMark val="out"/>
        <c:minorTickMark val="none"/>
        <c:tickLblPos val="nextTo"/>
        <c:txPr>
          <a:bodyPr/>
          <a:lstStyle/>
          <a:p>
            <a:pPr>
              <a:defRPr lang="es-GT" sz="800"/>
            </a:pPr>
            <a:endParaRPr lang="es-GT"/>
          </a:p>
        </c:txPr>
        <c:crossAx val="146334464"/>
        <c:crosses val="autoZero"/>
        <c:crossBetween val="between"/>
      </c:valAx>
    </c:plotArea>
    <c:legend>
      <c:legendPos val="b"/>
      <c:overlay val="0"/>
      <c:txPr>
        <a:bodyPr/>
        <a:lstStyle/>
        <a:p>
          <a:pPr>
            <a:defRPr lang="es-GT" sz="800"/>
          </a:pPr>
          <a:endParaRPr lang="es-GT"/>
        </a:p>
      </c:txPr>
    </c:legend>
    <c:plotVisOnly val="1"/>
    <c:dispBlanksAs val="gap"/>
    <c:showDLblsOverMax val="0"/>
  </c:chart>
  <c:spPr>
    <a:ln w="19050">
      <a:noFill/>
    </a:ln>
  </c:spPr>
  <c:txPr>
    <a:bodyPr/>
    <a:lstStyle/>
    <a:p>
      <a:pPr>
        <a:defRPr sz="900">
          <a:latin typeface="Times New Roman" panose="02020603050405020304" pitchFamily="18" charset="0"/>
          <a:cs typeface="Times New Roman" panose="02020603050405020304" pitchFamily="18" charset="0"/>
        </a:defRPr>
      </a:pPr>
      <a:endParaRPr lang="es-GT"/>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'resultado pres al 30 junio'!$C$6</c:f>
              <c:strCache>
                <c:ptCount val="1"/>
                <c:pt idx="0">
                  <c:v>Resultado Presupuestario</c:v>
                </c:pt>
              </c:strCache>
            </c:strRef>
          </c:tx>
          <c:spPr>
            <a:solidFill>
              <a:schemeClr val="accent1">
                <a:lumMod val="75000"/>
              </a:schemeClr>
            </a:solidFill>
            <a:ln>
              <a:noFill/>
            </a:ln>
            <a:effectLst/>
            <a:scene3d>
              <a:camera prst="orthographicFront"/>
              <a:lightRig rig="threePt" dir="t"/>
            </a:scene3d>
            <a:sp3d>
              <a:bevelT/>
              <a:bevelB/>
            </a:sp3d>
          </c:spPr>
          <c:invertIfNegative val="0"/>
          <c:dLbls>
            <c:spPr>
              <a:noFill/>
              <a:ln>
                <a:noFill/>
              </a:ln>
              <a:effectLst/>
            </c:spPr>
            <c:txPr>
              <a:bodyPr rot="0" vert="horz"/>
              <a:lstStyle/>
              <a:p>
                <a:pPr>
                  <a:defRPr sz="800"/>
                </a:pPr>
                <a:endParaRPr lang="es-GT"/>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'resultado pres al 30 junio'!$B$7:$B$13</c:f>
              <c:strCache>
                <c:ptCount val="7"/>
                <c:pt idx="0">
                  <c:v>2010</c:v>
                </c:pt>
                <c:pt idx="1">
                  <c:v>2011</c:v>
                </c:pt>
                <c:pt idx="2">
                  <c:v>2012</c:v>
                </c:pt>
                <c:pt idx="3">
                  <c:v>2013</c:v>
                </c:pt>
                <c:pt idx="4">
                  <c:v>2014</c:v>
                </c:pt>
                <c:pt idx="5">
                  <c:v>2015</c:v>
                </c:pt>
                <c:pt idx="6">
                  <c:v>2016*</c:v>
                </c:pt>
              </c:strCache>
            </c:strRef>
          </c:cat>
          <c:val>
            <c:numRef>
              <c:f>'resultado pres al 30 junio'!$C$7:$C$13</c:f>
              <c:numCache>
                <c:formatCode>0.0</c:formatCode>
                <c:ptCount val="7"/>
                <c:pt idx="0">
                  <c:v>-10960.3</c:v>
                </c:pt>
                <c:pt idx="1">
                  <c:v>-10357</c:v>
                </c:pt>
                <c:pt idx="2">
                  <c:v>-9451.4</c:v>
                </c:pt>
                <c:pt idx="3">
                  <c:v>-9009.7999999999975</c:v>
                </c:pt>
                <c:pt idx="4">
                  <c:v>-8693.5</c:v>
                </c:pt>
                <c:pt idx="5">
                  <c:v>-7007.5</c:v>
                </c:pt>
                <c:pt idx="6" formatCode="General">
                  <c:v>500.5</c:v>
                </c:pt>
              </c:numCache>
            </c:numRef>
          </c:val>
          <c:extLst>
            <c:ext xmlns:c16="http://schemas.microsoft.com/office/drawing/2014/chart" uri="{C3380CC4-5D6E-409C-BE32-E72D297353CC}">
              <c16:uniqueId val="{00000000-B4EC-4126-88E6-F4C17AE86731}"/>
            </c:ext>
          </c:extLst>
        </c:ser>
        <c:dLbls>
          <c:showLegendKey val="0"/>
          <c:showVal val="0"/>
          <c:showCatName val="0"/>
          <c:showSerName val="0"/>
          <c:showPercent val="0"/>
          <c:showBubbleSize val="0"/>
        </c:dLbls>
        <c:gapWidth val="50"/>
        <c:axId val="290882304"/>
        <c:axId val="290883840"/>
      </c:barChart>
      <c:lineChart>
        <c:grouping val="standard"/>
        <c:varyColors val="0"/>
        <c:ser>
          <c:idx val="1"/>
          <c:order val="1"/>
          <c:tx>
            <c:strRef>
              <c:f>'resultado pres al 30 junio'!$D$6</c:f>
              <c:strCache>
                <c:ptCount val="1"/>
                <c:pt idx="0">
                  <c:v>% del PIB</c:v>
                </c:pt>
              </c:strCache>
            </c:strRef>
          </c:tx>
          <c:spPr>
            <a:ln w="38100" cap="rnd">
              <a:solidFill>
                <a:srgbClr val="FF0000"/>
              </a:solidFill>
              <a:round/>
            </a:ln>
            <a:effectLst/>
          </c:spPr>
          <c:marker>
            <c:symbol val="none"/>
          </c:marker>
          <c:cat>
            <c:strRef>
              <c:f>'resultado pres al 30 junio'!$B$7:$B$13</c:f>
              <c:strCache>
                <c:ptCount val="7"/>
                <c:pt idx="0">
                  <c:v>2010</c:v>
                </c:pt>
                <c:pt idx="1">
                  <c:v>2011</c:v>
                </c:pt>
                <c:pt idx="2">
                  <c:v>2012</c:v>
                </c:pt>
                <c:pt idx="3">
                  <c:v>2013</c:v>
                </c:pt>
                <c:pt idx="4">
                  <c:v>2014</c:v>
                </c:pt>
                <c:pt idx="5">
                  <c:v>2015</c:v>
                </c:pt>
                <c:pt idx="6">
                  <c:v>2016*</c:v>
                </c:pt>
              </c:strCache>
            </c:strRef>
          </c:cat>
          <c:val>
            <c:numRef>
              <c:f>'resultado pres al 30 junio'!$D$7:$D$13</c:f>
              <c:numCache>
                <c:formatCode>General</c:formatCode>
                <c:ptCount val="7"/>
                <c:pt idx="0">
                  <c:v>-3.29</c:v>
                </c:pt>
                <c:pt idx="1">
                  <c:v>-2.79</c:v>
                </c:pt>
                <c:pt idx="2">
                  <c:v>-2.3899999999999997</c:v>
                </c:pt>
                <c:pt idx="3">
                  <c:v>-2.12</c:v>
                </c:pt>
                <c:pt idx="4">
                  <c:v>-1.9000000000000001</c:v>
                </c:pt>
                <c:pt idx="5" formatCode="0.00">
                  <c:v>-1.4</c:v>
                </c:pt>
                <c:pt idx="6">
                  <c:v>9.5700000000000035E-2</c:v>
                </c:pt>
              </c:numCache>
            </c:numRef>
          </c:val>
          <c:smooth val="1"/>
          <c:extLst>
            <c:ext xmlns:c16="http://schemas.microsoft.com/office/drawing/2014/chart" uri="{C3380CC4-5D6E-409C-BE32-E72D297353CC}">
              <c16:uniqueId val="{00000001-B4EC-4126-88E6-F4C17AE86731}"/>
            </c:ext>
          </c:extLst>
        </c:ser>
        <c:dLbls>
          <c:showLegendKey val="0"/>
          <c:showVal val="0"/>
          <c:showCatName val="0"/>
          <c:showSerName val="0"/>
          <c:showPercent val="0"/>
          <c:showBubbleSize val="0"/>
        </c:dLbls>
        <c:marker val="1"/>
        <c:smooth val="0"/>
        <c:axId val="290900224"/>
        <c:axId val="290898304"/>
      </c:lineChart>
      <c:catAx>
        <c:axId val="290882304"/>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vert="horz"/>
          <a:lstStyle/>
          <a:p>
            <a:pPr>
              <a:defRPr sz="800"/>
            </a:pPr>
            <a:endParaRPr lang="es-GT"/>
          </a:p>
        </c:txPr>
        <c:crossAx val="290883840"/>
        <c:crosses val="autoZero"/>
        <c:auto val="1"/>
        <c:lblAlgn val="ctr"/>
        <c:lblOffset val="100"/>
        <c:noMultiLvlLbl val="0"/>
      </c:catAx>
      <c:valAx>
        <c:axId val="290883840"/>
        <c:scaling>
          <c:orientation val="minMax"/>
        </c:scaling>
        <c:delete val="0"/>
        <c:axPos val="l"/>
        <c:title>
          <c:tx>
            <c:rich>
              <a:bodyPr rot="-5400000" vert="horz"/>
              <a:lstStyle/>
              <a:p>
                <a:pPr>
                  <a:defRPr sz="800"/>
                </a:pPr>
                <a:r>
                  <a:rPr lang="en-US" sz="800"/>
                  <a:t>Millones de Quetzales</a:t>
                </a:r>
              </a:p>
            </c:rich>
          </c:tx>
          <c:overlay val="0"/>
        </c:title>
        <c:numFmt formatCode="0.0" sourceLinked="1"/>
        <c:majorTickMark val="none"/>
        <c:minorTickMark val="none"/>
        <c:tickLblPos val="nextTo"/>
        <c:spPr>
          <a:noFill/>
          <a:ln>
            <a:noFill/>
          </a:ln>
          <a:effectLst/>
        </c:spPr>
        <c:txPr>
          <a:bodyPr rot="-60000000" vert="horz"/>
          <a:lstStyle/>
          <a:p>
            <a:pPr>
              <a:defRPr sz="800"/>
            </a:pPr>
            <a:endParaRPr lang="es-GT"/>
          </a:p>
        </c:txPr>
        <c:crossAx val="290882304"/>
        <c:crosses val="autoZero"/>
        <c:crossBetween val="between"/>
      </c:valAx>
      <c:valAx>
        <c:axId val="290898304"/>
        <c:scaling>
          <c:orientation val="minMax"/>
        </c:scaling>
        <c:delete val="0"/>
        <c:axPos val="r"/>
        <c:title>
          <c:tx>
            <c:rich>
              <a:bodyPr rot="5400000" vert="horz"/>
              <a:lstStyle/>
              <a:p>
                <a:pPr>
                  <a:defRPr sz="800"/>
                </a:pPr>
                <a:r>
                  <a:rPr lang="en-US" sz="800"/>
                  <a:t>Porcentaje del PIB</a:t>
                </a:r>
              </a:p>
            </c:rich>
          </c:tx>
          <c:overlay val="0"/>
        </c:title>
        <c:numFmt formatCode="General" sourceLinked="1"/>
        <c:majorTickMark val="out"/>
        <c:minorTickMark val="none"/>
        <c:tickLblPos val="high"/>
        <c:spPr>
          <a:noFill/>
          <a:ln>
            <a:noFill/>
          </a:ln>
          <a:effectLst/>
        </c:spPr>
        <c:txPr>
          <a:bodyPr rot="-60000000" vert="horz"/>
          <a:lstStyle/>
          <a:p>
            <a:pPr>
              <a:defRPr sz="800"/>
            </a:pPr>
            <a:endParaRPr lang="es-GT"/>
          </a:p>
        </c:txPr>
        <c:crossAx val="290900224"/>
        <c:crosses val="max"/>
        <c:crossBetween val="between"/>
      </c:valAx>
      <c:catAx>
        <c:axId val="290900224"/>
        <c:scaling>
          <c:orientation val="minMax"/>
        </c:scaling>
        <c:delete val="1"/>
        <c:axPos val="b"/>
        <c:numFmt formatCode="General" sourceLinked="1"/>
        <c:majorTickMark val="out"/>
        <c:minorTickMark val="none"/>
        <c:tickLblPos val="nextTo"/>
        <c:crossAx val="290898304"/>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sz="800"/>
          </a:pPr>
          <a:endParaRPr lang="es-GT"/>
        </a:p>
      </c:txPr>
    </c:legend>
    <c:plotVisOnly val="1"/>
    <c:dispBlanksAs val="gap"/>
    <c:showDLblsOverMax val="0"/>
  </c:chart>
  <c:spPr>
    <a:solidFill>
      <a:schemeClr val="bg1"/>
    </a:solidFill>
    <a:ln w="9525" cap="flat" cmpd="sng" algn="ctr">
      <a:noFill/>
      <a:round/>
    </a:ln>
    <a:effectLst/>
  </c:spPr>
  <c:txPr>
    <a:bodyPr/>
    <a:lstStyle/>
    <a:p>
      <a:pPr>
        <a:defRPr>
          <a:latin typeface="Times New Roman" pitchFamily="18" charset="0"/>
          <a:cs typeface="Times New Roman" pitchFamily="18" charset="0"/>
        </a:defRPr>
      </a:pPr>
      <a:endParaRPr lang="es-GT"/>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862562634216174E-2"/>
          <c:y val="3.3244856489712982E-2"/>
          <c:w val="0.91301956573610121"/>
          <c:h val="0.85590797794570983"/>
        </c:manualLayout>
      </c:layout>
      <c:lineChart>
        <c:grouping val="standard"/>
        <c:varyColors val="0"/>
        <c:ser>
          <c:idx val="1"/>
          <c:order val="0"/>
          <c:tx>
            <c:strRef>
              <c:f>TasaCuponPromedioP!$B$5</c:f>
              <c:strCache>
                <c:ptCount val="1"/>
                <c:pt idx="0">
                  <c:v>Quetzales</c:v>
                </c:pt>
              </c:strCache>
            </c:strRef>
          </c:tx>
          <c:marker>
            <c:symbol val="triangle"/>
            <c:size val="7"/>
          </c:marker>
          <c:dLbls>
            <c:dLbl>
              <c:idx val="3"/>
              <c:layout>
                <c:manualLayout>
                  <c:x val="-3.7054993280990052E-2"/>
                  <c:y val="-3.22803585388167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FD-4F10-BFD1-1092F5A3BDD7}"/>
                </c:ext>
              </c:extLst>
            </c:dLbl>
            <c:dLbl>
              <c:idx val="7"/>
              <c:layout>
                <c:manualLayout>
                  <c:x val="0"/>
                  <c:y val="-2.8225806451612902E-2"/>
                </c:manualLayout>
              </c:layout>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FD-4F10-BFD1-1092F5A3BDD7}"/>
                </c:ext>
              </c:extLst>
            </c:dLbl>
            <c:dLbl>
              <c:idx val="9"/>
              <c:layout>
                <c:manualLayout>
                  <c:x val="-3.4387357830271213E-2"/>
                  <c:y val="-6.890055409740449E-2"/>
                </c:manualLayout>
              </c:layout>
              <c:spPr/>
              <c:txPr>
                <a:bodyPr/>
                <a:lstStyle/>
                <a:p>
                  <a:pPr algn="ctr">
                    <a:defRPr lang="es-GT" sz="800">
                      <a:latin typeface="Times New Roman" pitchFamily="18" charset="0"/>
                      <a:cs typeface="Times New Roman" pitchFamily="18" charset="0"/>
                    </a:defRPr>
                  </a:pPr>
                  <a:endParaRPr lang="es-GT"/>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FD-4F10-BFD1-1092F5A3BDD7}"/>
                </c:ext>
              </c:extLst>
            </c:dLbl>
            <c:spPr>
              <a:noFill/>
              <a:ln>
                <a:noFill/>
              </a:ln>
              <a:effectLst/>
            </c:spPr>
            <c:txPr>
              <a:bodyPr/>
              <a:lstStyle/>
              <a:p>
                <a:pPr>
                  <a:defRPr lang="es-GT" sz="800">
                    <a:latin typeface="Times New Roman" pitchFamily="18" charset="0"/>
                    <a:cs typeface="Times New Roman"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TasaCuponPromedioP!$A$6:$A$17</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TasaCuponPromedioP!$B$6:$B$17</c:f>
              <c:numCache>
                <c:formatCode>0.00%</c:formatCode>
                <c:ptCount val="12"/>
                <c:pt idx="0">
                  <c:v>9.2200000000000004E-2</c:v>
                </c:pt>
                <c:pt idx="1">
                  <c:v>8.9000000000000065E-2</c:v>
                </c:pt>
                <c:pt idx="2">
                  <c:v>9.0300000000000005E-2</c:v>
                </c:pt>
                <c:pt idx="3">
                  <c:v>9.4400000000000026E-2</c:v>
                </c:pt>
                <c:pt idx="4">
                  <c:v>8.6100000000000024E-2</c:v>
                </c:pt>
                <c:pt idx="5">
                  <c:v>8.6000000000000021E-2</c:v>
                </c:pt>
                <c:pt idx="6">
                  <c:v>9.1400000000000009E-2</c:v>
                </c:pt>
                <c:pt idx="7">
                  <c:v>8.5400000000000004E-2</c:v>
                </c:pt>
                <c:pt idx="8">
                  <c:v>9.1200000000000003E-2</c:v>
                </c:pt>
                <c:pt idx="9">
                  <c:v>7.3000000000000009E-2</c:v>
                </c:pt>
                <c:pt idx="10">
                  <c:v>7.4400000000000049E-2</c:v>
                </c:pt>
                <c:pt idx="11">
                  <c:v>7.3568517041414483E-2</c:v>
                </c:pt>
              </c:numCache>
            </c:numRef>
          </c:val>
          <c:smooth val="0"/>
          <c:extLst>
            <c:ext xmlns:c16="http://schemas.microsoft.com/office/drawing/2014/chart" uri="{C3380CC4-5D6E-409C-BE32-E72D297353CC}">
              <c16:uniqueId val="{00000003-3DFD-4F10-BFD1-1092F5A3BDD7}"/>
            </c:ext>
          </c:extLst>
        </c:ser>
        <c:ser>
          <c:idx val="0"/>
          <c:order val="1"/>
          <c:tx>
            <c:strRef>
              <c:f>TasaCuponPromedioP!$C$5</c:f>
              <c:strCache>
                <c:ptCount val="1"/>
                <c:pt idx="0">
                  <c:v>US Dólares</c:v>
                </c:pt>
              </c:strCache>
            </c:strRef>
          </c:tx>
          <c:marker>
            <c:symbol val="square"/>
            <c:size val="7"/>
            <c:spPr>
              <a:solidFill>
                <a:srgbClr val="0070C0"/>
              </a:solidFill>
            </c:spPr>
          </c:marker>
          <c:dPt>
            <c:idx val="6"/>
            <c:bubble3D val="0"/>
            <c:spPr>
              <a:ln>
                <a:solidFill>
                  <a:schemeClr val="accent1"/>
                </a:solidFill>
              </a:ln>
            </c:spPr>
            <c:extLst>
              <c:ext xmlns:c16="http://schemas.microsoft.com/office/drawing/2014/chart" uri="{C3380CC4-5D6E-409C-BE32-E72D297353CC}">
                <c16:uniqueId val="{00000005-3DFD-4F10-BFD1-1092F5A3BDD7}"/>
              </c:ext>
            </c:extLst>
          </c:dPt>
          <c:dPt>
            <c:idx val="8"/>
            <c:bubble3D val="0"/>
            <c:spPr>
              <a:ln>
                <a:solidFill>
                  <a:schemeClr val="accent1"/>
                </a:solidFill>
              </a:ln>
            </c:spPr>
            <c:extLst>
              <c:ext xmlns:c16="http://schemas.microsoft.com/office/drawing/2014/chart" uri="{C3380CC4-5D6E-409C-BE32-E72D297353CC}">
                <c16:uniqueId val="{00000007-3DFD-4F10-BFD1-1092F5A3BDD7}"/>
              </c:ext>
            </c:extLst>
          </c:dPt>
          <c:dLbls>
            <c:spPr>
              <a:noFill/>
              <a:ln>
                <a:noFill/>
              </a:ln>
              <a:effectLst/>
            </c:spPr>
            <c:txPr>
              <a:bodyPr/>
              <a:lstStyle/>
              <a:p>
                <a:pPr>
                  <a:defRPr lang="es-GT" sz="800">
                    <a:solidFill>
                      <a:sysClr val="windowText" lastClr="000000"/>
                    </a:solidFill>
                    <a:latin typeface="Times New Roman" pitchFamily="18" charset="0"/>
                    <a:cs typeface="Times New Roman" pitchFamily="18" charset="0"/>
                  </a:defRPr>
                </a:pPr>
                <a:endParaRPr lang="es-G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TasaCuponPromedioP!$A$6:$A$17</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TasaCuponPromedioP!$C$6:$C$16</c:f>
              <c:numCache>
                <c:formatCode>General</c:formatCode>
                <c:ptCount val="11"/>
                <c:pt idx="5" formatCode="0.00%">
                  <c:v>4.8500000000000001E-2</c:v>
                </c:pt>
                <c:pt idx="6" formatCode="0.00%">
                  <c:v>5.1699999999999996E-2</c:v>
                </c:pt>
                <c:pt idx="7" formatCode="0.00%">
                  <c:v>5.8800000000000012E-2</c:v>
                </c:pt>
                <c:pt idx="8" formatCode="0.00%">
                  <c:v>5.3199999999999997E-2</c:v>
                </c:pt>
                <c:pt idx="9" formatCode="0.00%">
                  <c:v>4.8800000000000003E-2</c:v>
                </c:pt>
              </c:numCache>
            </c:numRef>
          </c:val>
          <c:smooth val="0"/>
          <c:extLst>
            <c:ext xmlns:c16="http://schemas.microsoft.com/office/drawing/2014/chart" uri="{C3380CC4-5D6E-409C-BE32-E72D297353CC}">
              <c16:uniqueId val="{00000008-3DFD-4F10-BFD1-1092F5A3BDD7}"/>
            </c:ext>
          </c:extLst>
        </c:ser>
        <c:dLbls>
          <c:showLegendKey val="0"/>
          <c:showVal val="0"/>
          <c:showCatName val="0"/>
          <c:showSerName val="0"/>
          <c:showPercent val="0"/>
          <c:showBubbleSize val="0"/>
        </c:dLbls>
        <c:marker val="1"/>
        <c:smooth val="0"/>
        <c:axId val="291087104"/>
        <c:axId val="291088640"/>
      </c:lineChart>
      <c:catAx>
        <c:axId val="291087104"/>
        <c:scaling>
          <c:orientation val="minMax"/>
        </c:scaling>
        <c:delete val="0"/>
        <c:axPos val="b"/>
        <c:numFmt formatCode="General" sourceLinked="1"/>
        <c:majorTickMark val="out"/>
        <c:minorTickMark val="none"/>
        <c:tickLblPos val="nextTo"/>
        <c:txPr>
          <a:bodyPr/>
          <a:lstStyle/>
          <a:p>
            <a:pPr>
              <a:defRPr lang="es-GT" sz="700">
                <a:latin typeface="Times New Roman" pitchFamily="18" charset="0"/>
                <a:cs typeface="Times New Roman" pitchFamily="18" charset="0"/>
              </a:defRPr>
            </a:pPr>
            <a:endParaRPr lang="es-GT"/>
          </a:p>
        </c:txPr>
        <c:crossAx val="291088640"/>
        <c:crosses val="autoZero"/>
        <c:auto val="1"/>
        <c:lblAlgn val="ctr"/>
        <c:lblOffset val="100"/>
        <c:noMultiLvlLbl val="0"/>
      </c:catAx>
      <c:valAx>
        <c:axId val="291088640"/>
        <c:scaling>
          <c:orientation val="minMax"/>
        </c:scaling>
        <c:delete val="0"/>
        <c:axPos val="l"/>
        <c:numFmt formatCode="0.00%" sourceLinked="0"/>
        <c:majorTickMark val="out"/>
        <c:minorTickMark val="none"/>
        <c:tickLblPos val="nextTo"/>
        <c:spPr>
          <a:ln>
            <a:noFill/>
          </a:ln>
        </c:spPr>
        <c:txPr>
          <a:bodyPr/>
          <a:lstStyle/>
          <a:p>
            <a:pPr>
              <a:defRPr lang="es-GT" sz="700">
                <a:latin typeface="Times New Roman" pitchFamily="18" charset="0"/>
                <a:cs typeface="Times New Roman" pitchFamily="18" charset="0"/>
              </a:defRPr>
            </a:pPr>
            <a:endParaRPr lang="es-GT"/>
          </a:p>
        </c:txPr>
        <c:crossAx val="291087104"/>
        <c:crosses val="autoZero"/>
        <c:crossBetween val="between"/>
        <c:majorUnit val="1.0000000000000005E-2"/>
      </c:valAx>
    </c:plotArea>
    <c:legend>
      <c:legendPos val="b"/>
      <c:layout>
        <c:manualLayout>
          <c:xMode val="edge"/>
          <c:yMode val="edge"/>
          <c:x val="0.33628032291418131"/>
          <c:y val="0.7875908051816104"/>
          <c:w val="0.32743935417163761"/>
          <c:h val="5.5151130302260612E-2"/>
        </c:manualLayout>
      </c:layout>
      <c:overlay val="0"/>
      <c:txPr>
        <a:bodyPr/>
        <a:lstStyle/>
        <a:p>
          <a:pPr>
            <a:defRPr lang="es-GT" sz="700">
              <a:latin typeface="Times New Roman" pitchFamily="18" charset="0"/>
              <a:cs typeface="Times New Roman" pitchFamily="18" charset="0"/>
            </a:defRPr>
          </a:pPr>
          <a:endParaRPr lang="es-GT"/>
        </a:p>
      </c:txPr>
    </c:legend>
    <c:plotVisOnly val="1"/>
    <c:dispBlanksAs val="gap"/>
    <c:showDLblsOverMax val="0"/>
  </c:chart>
  <c:spPr>
    <a:ln>
      <a:noFill/>
    </a:ln>
  </c:spPr>
  <c:txPr>
    <a:bodyPr/>
    <a:lstStyle/>
    <a:p>
      <a:pPr>
        <a:defRPr>
          <a:latin typeface="Garamond" pitchFamily="18" charset="0"/>
        </a:defRPr>
      </a:pPr>
      <a:endParaRPr lang="es-G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s-GT" sz="1000"/>
          </a:pPr>
          <a:endParaRPr lang="es-GT"/>
        </a:p>
      </c:txPr>
    </c:title>
    <c:autoTitleDeleted val="0"/>
    <c:view3D>
      <c:rotX val="30"/>
      <c:rotY val="6"/>
      <c:rAngAx val="0"/>
    </c:view3D>
    <c:floor>
      <c:thickness val="0"/>
    </c:floor>
    <c:sideWall>
      <c:thickness val="0"/>
    </c:sideWall>
    <c:backWall>
      <c:thickness val="0"/>
    </c:backWall>
    <c:plotArea>
      <c:layout>
        <c:manualLayout>
          <c:layoutTarget val="inner"/>
          <c:xMode val="edge"/>
          <c:yMode val="edge"/>
          <c:x val="2.5058593636411225E-3"/>
          <c:y val="0.25586421452563185"/>
          <c:w val="0.96935982725151115"/>
          <c:h val="0.69628282505295891"/>
        </c:manualLayout>
      </c:layout>
      <c:pie3DChart>
        <c:varyColors val="1"/>
        <c:ser>
          <c:idx val="0"/>
          <c:order val="0"/>
          <c:tx>
            <c:strRef>
              <c:f>'[Gráfico en Microsoft Word]Hoja2'!$B$1</c:f>
              <c:strCache>
                <c:ptCount val="1"/>
                <c:pt idx="0">
                  <c:v>2016</c:v>
                </c:pt>
              </c:strCache>
            </c:strRef>
          </c:tx>
          <c:spPr>
            <a:ln w="12700"/>
            <a:scene3d>
              <a:camera prst="orthographicFront"/>
              <a:lightRig rig="threePt" dir="t"/>
            </a:scene3d>
            <a:sp3d>
              <a:bevelT/>
            </a:sp3d>
          </c:spPr>
          <c:explosion val="5"/>
          <c:dPt>
            <c:idx val="0"/>
            <c:bubble3D val="0"/>
            <c:explosion val="14"/>
            <c:spPr>
              <a:solidFill>
                <a:srgbClr val="007EBB"/>
              </a:solidFill>
              <a:ln w="12700"/>
              <a:scene3d>
                <a:camera prst="orthographicFront"/>
                <a:lightRig rig="threePt" dir="t"/>
              </a:scene3d>
              <a:sp3d>
                <a:bevelT/>
              </a:sp3d>
            </c:spPr>
            <c:extLst>
              <c:ext xmlns:c16="http://schemas.microsoft.com/office/drawing/2014/chart" uri="{C3380CC4-5D6E-409C-BE32-E72D297353CC}">
                <c16:uniqueId val="{00000001-1312-487D-B310-245F2C7CA0D9}"/>
              </c:ext>
            </c:extLst>
          </c:dPt>
          <c:dPt>
            <c:idx val="1"/>
            <c:bubble3D val="0"/>
            <c:spPr>
              <a:solidFill>
                <a:srgbClr val="C0433A"/>
              </a:solidFill>
              <a:ln w="12700"/>
              <a:scene3d>
                <a:camera prst="orthographicFront"/>
                <a:lightRig rig="threePt" dir="t"/>
              </a:scene3d>
              <a:sp3d>
                <a:bevelT/>
              </a:sp3d>
            </c:spPr>
            <c:extLst>
              <c:ext xmlns:c16="http://schemas.microsoft.com/office/drawing/2014/chart" uri="{C3380CC4-5D6E-409C-BE32-E72D297353CC}">
                <c16:uniqueId val="{00000003-1312-487D-B310-245F2C7CA0D9}"/>
              </c:ext>
            </c:extLst>
          </c:dPt>
          <c:dLbls>
            <c:dLbl>
              <c:idx val="0"/>
              <c:layout>
                <c:manualLayout>
                  <c:x val="-0.15120720338243762"/>
                  <c:y val="-0.1922656431856618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312-487D-B310-245F2C7CA0D9}"/>
                </c:ext>
              </c:extLst>
            </c:dLbl>
            <c:dLbl>
              <c:idx val="1"/>
              <c:layout>
                <c:manualLayout>
                  <c:x val="2.6935988996609421E-2"/>
                  <c:y val="-0.4434286981396636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312-487D-B310-245F2C7CA0D9}"/>
                </c:ext>
              </c:extLst>
            </c:dLbl>
            <c:numFmt formatCode="0.0%" sourceLinked="0"/>
            <c:spPr>
              <a:noFill/>
              <a:ln>
                <a:noFill/>
              </a:ln>
              <a:effectLst/>
            </c:spPr>
            <c:txPr>
              <a:bodyPr/>
              <a:lstStyle/>
              <a:p>
                <a:pPr>
                  <a:defRPr lang="es-GT" sz="700" b="1"/>
                </a:pPr>
                <a:endParaRPr lang="es-GT"/>
              </a:p>
            </c:txPr>
            <c:showLegendKey val="0"/>
            <c:showVal val="0"/>
            <c:showCatName val="1"/>
            <c:showSerName val="0"/>
            <c:showPercent val="1"/>
            <c:showBubbleSize val="0"/>
            <c:showLeaderLines val="1"/>
            <c:extLst>
              <c:ext xmlns:c15="http://schemas.microsoft.com/office/drawing/2012/chart" uri="{CE6537A1-D6FC-4f65-9D91-7224C49458BB}"/>
            </c:extLst>
          </c:dLbls>
          <c:cat>
            <c:strRef>
              <c:f>'[Gráfico en Microsoft Word]Hoja2'!$A$2:$A$3</c:f>
              <c:strCache>
                <c:ptCount val="2"/>
                <c:pt idx="0">
                  <c:v>Directos</c:v>
                </c:pt>
                <c:pt idx="1">
                  <c:v>Indirectos</c:v>
                </c:pt>
              </c:strCache>
            </c:strRef>
          </c:cat>
          <c:val>
            <c:numRef>
              <c:f>'[Gráfico en Microsoft Word]Hoja2'!$B$2:$B$3</c:f>
              <c:numCache>
                <c:formatCode>#,##0.0</c:formatCode>
                <c:ptCount val="2"/>
                <c:pt idx="0">
                  <c:v>9775.3555698599903</c:v>
                </c:pt>
                <c:pt idx="1">
                  <c:v>16310.675516020001</c:v>
                </c:pt>
              </c:numCache>
            </c:numRef>
          </c:val>
          <c:extLst>
            <c:ext xmlns:c16="http://schemas.microsoft.com/office/drawing/2014/chart" uri="{C3380CC4-5D6E-409C-BE32-E72D297353CC}">
              <c16:uniqueId val="{00000004-1312-487D-B310-245F2C7CA0D9}"/>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sz="800">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s-GT" sz="1200"/>
          </a:pPr>
          <a:endParaRPr lang="es-GT"/>
        </a:p>
      </c:txPr>
    </c:title>
    <c:autoTitleDeleted val="0"/>
    <c:view3D>
      <c:rotX val="30"/>
      <c:rotY val="220"/>
      <c:rAngAx val="0"/>
    </c:view3D>
    <c:floor>
      <c:thickness val="0"/>
    </c:floor>
    <c:sideWall>
      <c:thickness val="0"/>
    </c:sideWall>
    <c:backWall>
      <c:thickness val="0"/>
    </c:backWall>
    <c:plotArea>
      <c:layout/>
      <c:pie3DChart>
        <c:varyColors val="1"/>
        <c:ser>
          <c:idx val="0"/>
          <c:order val="0"/>
          <c:tx>
            <c:strRef>
              <c:f>'[Gráfico en Microsoft Word]Hoja3'!$B$1</c:f>
              <c:strCache>
                <c:ptCount val="1"/>
                <c:pt idx="0">
                  <c:v>2015</c:v>
                </c:pt>
              </c:strCache>
            </c:strRef>
          </c:tx>
          <c:spPr>
            <a:scene3d>
              <a:camera prst="orthographicFront"/>
              <a:lightRig rig="threePt" dir="t"/>
            </a:scene3d>
            <a:sp3d prstMaterial="plastic">
              <a:bevelT/>
            </a:sp3d>
          </c:spPr>
          <c:explosion val="6"/>
          <c:dPt>
            <c:idx val="0"/>
            <c:bubble3D val="0"/>
            <c:spPr>
              <a:solidFill>
                <a:srgbClr val="0070C0"/>
              </a:solidFill>
              <a:scene3d>
                <a:camera prst="orthographicFront"/>
                <a:lightRig rig="threePt" dir="t"/>
              </a:scene3d>
              <a:sp3d prstMaterial="plastic">
                <a:bevelT/>
              </a:sp3d>
            </c:spPr>
            <c:extLst>
              <c:ext xmlns:c16="http://schemas.microsoft.com/office/drawing/2014/chart" uri="{C3380CC4-5D6E-409C-BE32-E72D297353CC}">
                <c16:uniqueId val="{00000001-D246-4F44-AD23-30E43AEC96AF}"/>
              </c:ext>
            </c:extLst>
          </c:dPt>
          <c:dPt>
            <c:idx val="1"/>
            <c:bubble3D val="0"/>
            <c:spPr>
              <a:solidFill>
                <a:srgbClr val="C0433A"/>
              </a:solidFill>
              <a:scene3d>
                <a:camera prst="orthographicFront"/>
                <a:lightRig rig="threePt" dir="t"/>
              </a:scene3d>
              <a:sp3d prstMaterial="plastic">
                <a:bevelT/>
              </a:sp3d>
            </c:spPr>
            <c:extLst>
              <c:ext xmlns:c16="http://schemas.microsoft.com/office/drawing/2014/chart" uri="{C3380CC4-5D6E-409C-BE32-E72D297353CC}">
                <c16:uniqueId val="{00000003-D246-4F44-AD23-30E43AEC96AF}"/>
              </c:ext>
            </c:extLst>
          </c:dPt>
          <c:dLbls>
            <c:dLbl>
              <c:idx val="0"/>
              <c:layout>
                <c:manualLayout>
                  <c:x val="7.9074152283694979E-2"/>
                  <c:y val="-0.145269290297191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246-4F44-AD23-30E43AEC96AF}"/>
                </c:ext>
              </c:extLst>
            </c:dLbl>
            <c:dLbl>
              <c:idx val="1"/>
              <c:layout>
                <c:manualLayout>
                  <c:x val="-0.14225877485653277"/>
                  <c:y val="-0.34952021672532085"/>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246-4F44-AD23-30E43AEC96AF}"/>
                </c:ext>
              </c:extLst>
            </c:dLbl>
            <c:numFmt formatCode="0.0%" sourceLinked="0"/>
            <c:spPr>
              <a:noFill/>
              <a:ln>
                <a:noFill/>
              </a:ln>
              <a:effectLst/>
            </c:spPr>
            <c:txPr>
              <a:bodyPr/>
              <a:lstStyle/>
              <a:p>
                <a:pPr>
                  <a:defRPr lang="es-GT" sz="800" b="1"/>
                </a:pPr>
                <a:endParaRPr lang="es-GT"/>
              </a:p>
            </c:txPr>
            <c:showLegendKey val="0"/>
            <c:showVal val="0"/>
            <c:showCatName val="1"/>
            <c:showSerName val="0"/>
            <c:showPercent val="1"/>
            <c:showBubbleSize val="0"/>
            <c:showLeaderLines val="1"/>
            <c:extLst>
              <c:ext xmlns:c15="http://schemas.microsoft.com/office/drawing/2012/chart" uri="{CE6537A1-D6FC-4f65-9D91-7224C49458BB}"/>
            </c:extLst>
          </c:dLbls>
          <c:cat>
            <c:strRef>
              <c:f>'[Gráfico en Microsoft Word]Hoja3'!$A$2:$A$3</c:f>
              <c:strCache>
                <c:ptCount val="2"/>
                <c:pt idx="0">
                  <c:v>comercio exterior</c:v>
                </c:pt>
                <c:pt idx="1">
                  <c:v>Internos</c:v>
                </c:pt>
              </c:strCache>
            </c:strRef>
          </c:cat>
          <c:val>
            <c:numRef>
              <c:f>'[Gráfico en Microsoft Word]Hoja3'!$B$2:$B$3</c:f>
              <c:numCache>
                <c:formatCode>#,##0.0</c:formatCode>
                <c:ptCount val="2"/>
                <c:pt idx="0">
                  <c:v>7037.2090612400007</c:v>
                </c:pt>
                <c:pt idx="1">
                  <c:v>17457.347948799998</c:v>
                </c:pt>
              </c:numCache>
            </c:numRef>
          </c:val>
          <c:extLst>
            <c:ext xmlns:c16="http://schemas.microsoft.com/office/drawing/2014/chart" uri="{C3380CC4-5D6E-409C-BE32-E72D297353CC}">
              <c16:uniqueId val="{00000004-D246-4F44-AD23-30E43AEC96AF}"/>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lang="es-GT" sz="1200"/>
          </a:pPr>
          <a:endParaRPr lang="es-GT"/>
        </a:p>
      </c:txPr>
    </c:title>
    <c:autoTitleDeleted val="0"/>
    <c:view3D>
      <c:rotX val="30"/>
      <c:rotY val="232"/>
      <c:rAngAx val="0"/>
    </c:view3D>
    <c:floor>
      <c:thickness val="0"/>
    </c:floor>
    <c:sideWall>
      <c:thickness val="0"/>
    </c:sideWall>
    <c:backWall>
      <c:thickness val="0"/>
    </c:backWall>
    <c:plotArea>
      <c:layout>
        <c:manualLayout>
          <c:layoutTarget val="inner"/>
          <c:xMode val="edge"/>
          <c:yMode val="edge"/>
          <c:x val="0.13835946496258955"/>
          <c:y val="0.27857707106999974"/>
          <c:w val="0.77073059684503975"/>
          <c:h val="0.60373162142841141"/>
        </c:manualLayout>
      </c:layout>
      <c:pie3DChart>
        <c:varyColors val="1"/>
        <c:ser>
          <c:idx val="0"/>
          <c:order val="0"/>
          <c:tx>
            <c:strRef>
              <c:f>'[Gráfico en Microsoft Word]Hoja4'!$B$1</c:f>
              <c:strCache>
                <c:ptCount val="1"/>
                <c:pt idx="0">
                  <c:v>2016</c:v>
                </c:pt>
              </c:strCache>
            </c:strRef>
          </c:tx>
          <c:explosion val="6"/>
          <c:dPt>
            <c:idx val="0"/>
            <c:bubble3D val="0"/>
            <c:spPr>
              <a:solidFill>
                <a:srgbClr val="0070C0"/>
              </a:solidFill>
              <a:scene3d>
                <a:camera prst="orthographicFront"/>
                <a:lightRig rig="threePt" dir="t"/>
              </a:scene3d>
              <a:sp3d>
                <a:bevelT/>
              </a:sp3d>
            </c:spPr>
            <c:extLst>
              <c:ext xmlns:c16="http://schemas.microsoft.com/office/drawing/2014/chart" uri="{C3380CC4-5D6E-409C-BE32-E72D297353CC}">
                <c16:uniqueId val="{00000001-C8FF-4A11-9A2E-47F7579A95A4}"/>
              </c:ext>
            </c:extLst>
          </c:dPt>
          <c:dPt>
            <c:idx val="1"/>
            <c:bubble3D val="0"/>
            <c:spPr>
              <a:solidFill>
                <a:srgbClr val="C0433A"/>
              </a:solidFill>
              <a:scene3d>
                <a:camera prst="orthographicFront"/>
                <a:lightRig rig="threePt" dir="t"/>
              </a:scene3d>
              <a:sp3d>
                <a:bevelT/>
              </a:sp3d>
            </c:spPr>
            <c:extLst>
              <c:ext xmlns:c16="http://schemas.microsoft.com/office/drawing/2014/chart" uri="{C3380CC4-5D6E-409C-BE32-E72D297353CC}">
                <c16:uniqueId val="{00000003-C8FF-4A11-9A2E-47F7579A95A4}"/>
              </c:ext>
            </c:extLst>
          </c:dPt>
          <c:dLbls>
            <c:dLbl>
              <c:idx val="0"/>
              <c:layout>
                <c:manualLayout>
                  <c:x val="3.9482159584115488E-2"/>
                  <c:y val="-8.286167012564334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8FF-4A11-9A2E-47F7579A95A4}"/>
                </c:ext>
              </c:extLst>
            </c:dLbl>
            <c:dLbl>
              <c:idx val="1"/>
              <c:layout>
                <c:manualLayout>
                  <c:x val="-0.10447008684164369"/>
                  <c:y val="-0.3926456181656357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8FF-4A11-9A2E-47F7579A95A4}"/>
                </c:ext>
              </c:extLst>
            </c:dLbl>
            <c:numFmt formatCode="0.0%" sourceLinked="0"/>
            <c:spPr>
              <a:noFill/>
              <a:ln>
                <a:noFill/>
              </a:ln>
              <a:effectLst/>
            </c:spPr>
            <c:txPr>
              <a:bodyPr/>
              <a:lstStyle/>
              <a:p>
                <a:pPr>
                  <a:defRPr lang="es-GT" sz="800" b="1"/>
                </a:pPr>
                <a:endParaRPr lang="es-GT"/>
              </a:p>
            </c:txPr>
            <c:showLegendKey val="0"/>
            <c:showVal val="0"/>
            <c:showCatName val="1"/>
            <c:showSerName val="0"/>
            <c:showPercent val="1"/>
            <c:showBubbleSize val="0"/>
            <c:showLeaderLines val="1"/>
            <c:extLst>
              <c:ext xmlns:c15="http://schemas.microsoft.com/office/drawing/2012/chart" uri="{CE6537A1-D6FC-4f65-9D91-7224C49458BB}"/>
            </c:extLst>
          </c:dLbls>
          <c:cat>
            <c:strRef>
              <c:f>'[Gráfico en Microsoft Word]Hoja4'!$A$2:$A$3</c:f>
              <c:strCache>
                <c:ptCount val="2"/>
                <c:pt idx="0">
                  <c:v>comercio exterior</c:v>
                </c:pt>
                <c:pt idx="1">
                  <c:v>Internos</c:v>
                </c:pt>
              </c:strCache>
            </c:strRef>
          </c:cat>
          <c:val>
            <c:numRef>
              <c:f>'[Gráfico en Microsoft Word]Hoja4'!$B$2:$B$3</c:f>
              <c:numCache>
                <c:formatCode>#,##0.0</c:formatCode>
                <c:ptCount val="2"/>
                <c:pt idx="0">
                  <c:v>7042.7276611400002</c:v>
                </c:pt>
                <c:pt idx="1">
                  <c:v>19043.303424739999</c:v>
                </c:pt>
              </c:numCache>
            </c:numRef>
          </c:val>
          <c:extLst>
            <c:ext xmlns:c16="http://schemas.microsoft.com/office/drawing/2014/chart" uri="{C3380CC4-5D6E-409C-BE32-E72D297353CC}">
              <c16:uniqueId val="{00000004-C8FF-4A11-9A2E-47F7579A95A4}"/>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s-G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38100"/>
          </c:spPr>
          <c:marker>
            <c:symbol val="none"/>
          </c:marker>
          <c:dLbls>
            <c:dLbl>
              <c:idx val="0"/>
              <c:layout>
                <c:manualLayout>
                  <c:x val="-1.6666666666666666E-2"/>
                  <c:y val="-4.6296296296296511E-3"/>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A2-47D7-B932-474F87191E21}"/>
                </c:ext>
              </c:extLst>
            </c:dLbl>
            <c:dLbl>
              <c:idx val="6"/>
              <c:layout>
                <c:manualLayout>
                  <c:x val="-2.8196469876172739E-3"/>
                  <c:y val="-1.13212389330309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A2-47D7-B932-474F87191E21}"/>
                </c:ext>
              </c:extLst>
            </c:dLbl>
            <c:spPr>
              <a:noFill/>
              <a:ln>
                <a:noFill/>
              </a:ln>
              <a:effectLst/>
            </c:spPr>
            <c:txPr>
              <a:bodyPr/>
              <a:lstStyle/>
              <a:p>
                <a:pPr>
                  <a:defRPr sz="800" b="1">
                    <a:latin typeface="Times New Roman" pitchFamily="18" charset="0"/>
                    <a:cs typeface="Times New Roman" pitchFamily="18" charset="0"/>
                  </a:defRPr>
                </a:pPr>
                <a:endParaRPr lang="es-GT"/>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'[Gráfico en Microsoft Word]carga'!$B$2:$J$2</c:f>
              <c:numCache>
                <c:formatCode>0</c:formatCode>
                <c:ptCount val="9"/>
                <c:pt idx="0">
                  <c:v>2008</c:v>
                </c:pt>
                <c:pt idx="1">
                  <c:v>2009</c:v>
                </c:pt>
                <c:pt idx="2">
                  <c:v>2010</c:v>
                </c:pt>
                <c:pt idx="3">
                  <c:v>2011</c:v>
                </c:pt>
                <c:pt idx="4">
                  <c:v>2012</c:v>
                </c:pt>
                <c:pt idx="5">
                  <c:v>2013</c:v>
                </c:pt>
                <c:pt idx="6">
                  <c:v>2014</c:v>
                </c:pt>
                <c:pt idx="7">
                  <c:v>2015</c:v>
                </c:pt>
                <c:pt idx="8">
                  <c:v>2016</c:v>
                </c:pt>
              </c:numCache>
            </c:numRef>
          </c:cat>
          <c:val>
            <c:numRef>
              <c:f>'[Gráfico en Microsoft Word]carga'!$B$3:$J$3</c:f>
              <c:numCache>
                <c:formatCode>#,##0.0</c:formatCode>
                <c:ptCount val="9"/>
                <c:pt idx="0">
                  <c:v>5.6158943352468906</c:v>
                </c:pt>
                <c:pt idx="1">
                  <c:v>4.9747028618038458</c:v>
                </c:pt>
                <c:pt idx="2">
                  <c:v>5.016715574934838</c:v>
                </c:pt>
                <c:pt idx="3">
                  <c:v>5.371295130435275</c:v>
                </c:pt>
                <c:pt idx="4">
                  <c:v>5.3523182112291403</c:v>
                </c:pt>
                <c:pt idx="5">
                  <c:v>5.4184062692971473</c:v>
                </c:pt>
                <c:pt idx="6">
                  <c:v>5.2755148220081471</c:v>
                </c:pt>
                <c:pt idx="7">
                  <c:v>5.0267014828439276</c:v>
                </c:pt>
                <c:pt idx="8">
                  <c:v>4.9947774321461083</c:v>
                </c:pt>
              </c:numCache>
            </c:numRef>
          </c:val>
          <c:smooth val="1"/>
          <c:extLst>
            <c:ext xmlns:c16="http://schemas.microsoft.com/office/drawing/2014/chart" uri="{C3380CC4-5D6E-409C-BE32-E72D297353CC}">
              <c16:uniqueId val="{00000002-E5A2-47D7-B932-474F87191E21}"/>
            </c:ext>
          </c:extLst>
        </c:ser>
        <c:ser>
          <c:idx val="1"/>
          <c:order val="1"/>
          <c:marker>
            <c:symbol val="none"/>
          </c:marker>
          <c:dLbls>
            <c:dLbl>
              <c:idx val="8"/>
              <c:layout>
                <c:manualLayout>
                  <c:x val="-5.0114699344380557E-3"/>
                  <c:y val="-7.998560158306937E-3"/>
                </c:manualLayout>
              </c:layout>
              <c:tx>
                <c:rich>
                  <a:bodyPr/>
                  <a:lstStyle/>
                  <a:p>
                    <a:r>
                      <a:rPr lang="en-US" sz="900" b="1" i="1"/>
                      <a:t>5.2</a:t>
                    </a:r>
                    <a:r>
                      <a:rPr lang="en-US" b="1" i="1"/>
                      <a:t> </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5A2-47D7-B932-474F87191E2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val>
            <c:numRef>
              <c:f>'[Gráfico en Microsoft Word]carga'!$B$4:$J$4</c:f>
              <c:numCache>
                <c:formatCode>General</c:formatCode>
                <c:ptCount val="9"/>
                <c:pt idx="0">
                  <c:v>5.2</c:v>
                </c:pt>
                <c:pt idx="1">
                  <c:v>5.2</c:v>
                </c:pt>
                <c:pt idx="2">
                  <c:v>5.2</c:v>
                </c:pt>
                <c:pt idx="3">
                  <c:v>5.2</c:v>
                </c:pt>
                <c:pt idx="4">
                  <c:v>5.2</c:v>
                </c:pt>
                <c:pt idx="5">
                  <c:v>5.2</c:v>
                </c:pt>
                <c:pt idx="6">
                  <c:v>5.2</c:v>
                </c:pt>
                <c:pt idx="7">
                  <c:v>5.2</c:v>
                </c:pt>
                <c:pt idx="8">
                  <c:v>5.2</c:v>
                </c:pt>
              </c:numCache>
            </c:numRef>
          </c:val>
          <c:smooth val="0"/>
          <c:extLst>
            <c:ext xmlns:c16="http://schemas.microsoft.com/office/drawing/2014/chart" uri="{C3380CC4-5D6E-409C-BE32-E72D297353CC}">
              <c16:uniqueId val="{00000004-E5A2-47D7-B932-474F87191E21}"/>
            </c:ext>
          </c:extLst>
        </c:ser>
        <c:dLbls>
          <c:showLegendKey val="0"/>
          <c:showVal val="0"/>
          <c:showCatName val="0"/>
          <c:showSerName val="0"/>
          <c:showPercent val="0"/>
          <c:showBubbleSize val="0"/>
        </c:dLbls>
        <c:smooth val="0"/>
        <c:axId val="141025664"/>
        <c:axId val="141027200"/>
      </c:lineChart>
      <c:catAx>
        <c:axId val="141025664"/>
        <c:scaling>
          <c:orientation val="minMax"/>
        </c:scaling>
        <c:delete val="0"/>
        <c:axPos val="b"/>
        <c:numFmt formatCode="0" sourceLinked="1"/>
        <c:majorTickMark val="out"/>
        <c:minorTickMark val="none"/>
        <c:tickLblPos val="nextTo"/>
        <c:txPr>
          <a:bodyPr rot="-5400000" vert="horz"/>
          <a:lstStyle/>
          <a:p>
            <a:pPr>
              <a:defRPr sz="800" b="1">
                <a:latin typeface="Times New Roman" pitchFamily="18" charset="0"/>
                <a:cs typeface="Times New Roman" pitchFamily="18" charset="0"/>
              </a:defRPr>
            </a:pPr>
            <a:endParaRPr lang="es-GT"/>
          </a:p>
        </c:txPr>
        <c:crossAx val="141027200"/>
        <c:crosses val="autoZero"/>
        <c:auto val="1"/>
        <c:lblAlgn val="ctr"/>
        <c:lblOffset val="100"/>
        <c:noMultiLvlLbl val="0"/>
      </c:catAx>
      <c:valAx>
        <c:axId val="141027200"/>
        <c:scaling>
          <c:orientation val="minMax"/>
        </c:scaling>
        <c:delete val="0"/>
        <c:axPos val="l"/>
        <c:numFmt formatCode="#,##0.0" sourceLinked="1"/>
        <c:majorTickMark val="out"/>
        <c:minorTickMark val="none"/>
        <c:tickLblPos val="nextTo"/>
        <c:txPr>
          <a:bodyPr/>
          <a:lstStyle/>
          <a:p>
            <a:pPr>
              <a:defRPr sz="800" b="1">
                <a:latin typeface="Times New Roman" pitchFamily="18" charset="0"/>
                <a:cs typeface="Times New Roman" pitchFamily="18" charset="0"/>
              </a:defRPr>
            </a:pPr>
            <a:endParaRPr lang="es-GT"/>
          </a:p>
        </c:txPr>
        <c:crossAx val="141025664"/>
        <c:crosses val="autoZero"/>
        <c:crossBetween val="between"/>
      </c:valAx>
    </c:plotArea>
    <c:plotVisOnly val="1"/>
    <c:dispBlanksAs val="gap"/>
    <c:showDLblsOverMax val="0"/>
  </c:chart>
  <c:spPr>
    <a:ln w="22225">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674165035366654"/>
          <c:y val="3.9481891321077649E-2"/>
          <c:w val="0.66316888596664725"/>
          <c:h val="0.69342919020295157"/>
        </c:manualLayout>
      </c:layout>
      <c:barChart>
        <c:barDir val="col"/>
        <c:grouping val="clustered"/>
        <c:varyColors val="0"/>
        <c:ser>
          <c:idx val="0"/>
          <c:order val="0"/>
          <c:tx>
            <c:strRef>
              <c:f>'grafica tributarios al 30 junio'!$B$7</c:f>
              <c:strCache>
                <c:ptCount val="1"/>
                <c:pt idx="0">
                  <c:v>Acumulado al 30 de junio  </c:v>
                </c:pt>
              </c:strCache>
            </c:strRef>
          </c:tx>
          <c:spPr>
            <a:solidFill>
              <a:schemeClr val="tx2">
                <a:lumMod val="60000"/>
                <a:lumOff val="40000"/>
              </a:schemeClr>
            </a:solidFill>
            <a:scene3d>
              <a:camera prst="orthographicFront"/>
              <a:lightRig rig="threePt" dir="t">
                <a:rot lat="0" lon="0" rev="1200000"/>
              </a:lightRig>
            </a:scene3d>
            <a:sp3d prstMaterial="metal">
              <a:bevelT w="63500" h="25400"/>
            </a:sp3d>
          </c:spPr>
          <c:invertIfNegative val="0"/>
          <c:dPt>
            <c:idx val="6"/>
            <c:invertIfNegative val="0"/>
            <c:bubble3D val="0"/>
            <c:extLst>
              <c:ext xmlns:c16="http://schemas.microsoft.com/office/drawing/2014/chart" uri="{C3380CC4-5D6E-409C-BE32-E72D297353CC}">
                <c16:uniqueId val="{00000000-D66D-47C5-B77B-973E7401B93D}"/>
              </c:ext>
            </c:extLst>
          </c:dPt>
          <c:dPt>
            <c:idx val="7"/>
            <c:invertIfNegative val="0"/>
            <c:bubble3D val="0"/>
            <c:spPr>
              <a:solidFill>
                <a:schemeClr val="tx2"/>
              </a:solidFill>
              <a:scene3d>
                <a:camera prst="orthographicFront"/>
                <a:lightRig rig="threePt" dir="t">
                  <a:rot lat="0" lon="0" rev="1200000"/>
                </a:lightRig>
              </a:scene3d>
              <a:sp3d prstMaterial="metal">
                <a:bevelT w="63500" h="25400"/>
              </a:sp3d>
            </c:spPr>
            <c:extLst>
              <c:ext xmlns:c16="http://schemas.microsoft.com/office/drawing/2014/chart" uri="{C3380CC4-5D6E-409C-BE32-E72D297353CC}">
                <c16:uniqueId val="{00000002-D66D-47C5-B77B-973E7401B93D}"/>
              </c:ext>
            </c:extLst>
          </c:dPt>
          <c:dLbls>
            <c:delete val="1"/>
          </c:dLbls>
          <c:cat>
            <c:strRef>
              <c:f>'grafica tributarios al 30 junio'!$E$6:$K$6</c:f>
              <c:strCache>
                <c:ptCount val="7"/>
                <c:pt idx="0">
                  <c:v>2010</c:v>
                </c:pt>
                <c:pt idx="1">
                  <c:v>2011</c:v>
                </c:pt>
                <c:pt idx="2">
                  <c:v>2012</c:v>
                </c:pt>
                <c:pt idx="3">
                  <c:v>2013</c:v>
                </c:pt>
                <c:pt idx="4">
                  <c:v>2014</c:v>
                </c:pt>
                <c:pt idx="5">
                  <c:v>2015</c:v>
                </c:pt>
                <c:pt idx="6">
                  <c:v>2016*</c:v>
                </c:pt>
              </c:strCache>
            </c:strRef>
          </c:cat>
          <c:val>
            <c:numRef>
              <c:f>'grafica tributarios al 30 junio'!$E$7:$K$7</c:f>
              <c:numCache>
                <c:formatCode>#,##0.0</c:formatCode>
                <c:ptCount val="7"/>
                <c:pt idx="0">
                  <c:v>16710.348476880001</c:v>
                </c:pt>
                <c:pt idx="1">
                  <c:v>19928.128004149999</c:v>
                </c:pt>
                <c:pt idx="2">
                  <c:v>21126.831012909999</c:v>
                </c:pt>
                <c:pt idx="3">
                  <c:v>22925.634540210001</c:v>
                </c:pt>
                <c:pt idx="4">
                  <c:v>23962.010832309999</c:v>
                </c:pt>
                <c:pt idx="5">
                  <c:v>24494.613028560001</c:v>
                </c:pt>
                <c:pt idx="6">
                  <c:v>26086</c:v>
                </c:pt>
              </c:numCache>
            </c:numRef>
          </c:val>
          <c:extLst>
            <c:ext xmlns:c16="http://schemas.microsoft.com/office/drawing/2014/chart" uri="{C3380CC4-5D6E-409C-BE32-E72D297353CC}">
              <c16:uniqueId val="{00000003-D66D-47C5-B77B-973E7401B93D}"/>
            </c:ext>
          </c:extLst>
        </c:ser>
        <c:dLbls>
          <c:showLegendKey val="0"/>
          <c:showVal val="1"/>
          <c:showCatName val="0"/>
          <c:showSerName val="0"/>
          <c:showPercent val="0"/>
          <c:showBubbleSize val="0"/>
        </c:dLbls>
        <c:gapWidth val="29"/>
        <c:overlap val="100"/>
        <c:axId val="136924160"/>
        <c:axId val="136938240"/>
      </c:barChart>
      <c:lineChart>
        <c:grouping val="standard"/>
        <c:varyColors val="0"/>
        <c:ser>
          <c:idx val="1"/>
          <c:order val="1"/>
          <c:tx>
            <c:strRef>
              <c:f>'grafica tributarios al 30 junio'!$B$8</c:f>
              <c:strCache>
                <c:ptCount val="1"/>
                <c:pt idx="0">
                  <c:v>Meta SAT al 30 de junio</c:v>
                </c:pt>
              </c:strCache>
            </c:strRef>
          </c:tx>
          <c:spPr>
            <a:ln w="38100"/>
          </c:spPr>
          <c:marker>
            <c:symbol val="square"/>
            <c:size val="6"/>
          </c:marker>
          <c:val>
            <c:numRef>
              <c:f>'grafica tributarios al 30 junio'!$E$8:$K$8</c:f>
              <c:numCache>
                <c:formatCode>#,##0.0</c:formatCode>
                <c:ptCount val="7"/>
                <c:pt idx="0">
                  <c:v>15941.73730828</c:v>
                </c:pt>
                <c:pt idx="1">
                  <c:v>17592.21468985</c:v>
                </c:pt>
                <c:pt idx="2">
                  <c:v>19974.516567810002</c:v>
                </c:pt>
                <c:pt idx="3">
                  <c:v>24006.988541409999</c:v>
                </c:pt>
                <c:pt idx="4">
                  <c:v>24142.006157200001</c:v>
                </c:pt>
                <c:pt idx="5">
                  <c:v>26066.690647430001</c:v>
                </c:pt>
                <c:pt idx="6">
                  <c:v>26381.739050580007</c:v>
                </c:pt>
              </c:numCache>
            </c:numRef>
          </c:val>
          <c:smooth val="0"/>
          <c:extLst>
            <c:ext xmlns:c16="http://schemas.microsoft.com/office/drawing/2014/chart" uri="{C3380CC4-5D6E-409C-BE32-E72D297353CC}">
              <c16:uniqueId val="{00000004-D66D-47C5-B77B-973E7401B93D}"/>
            </c:ext>
          </c:extLst>
        </c:ser>
        <c:dLbls>
          <c:showLegendKey val="0"/>
          <c:showVal val="0"/>
          <c:showCatName val="0"/>
          <c:showSerName val="0"/>
          <c:showPercent val="0"/>
          <c:showBubbleSize val="0"/>
        </c:dLbls>
        <c:marker val="1"/>
        <c:smooth val="0"/>
        <c:axId val="136924160"/>
        <c:axId val="136938240"/>
      </c:lineChart>
      <c:catAx>
        <c:axId val="136924160"/>
        <c:scaling>
          <c:orientation val="minMax"/>
        </c:scaling>
        <c:delete val="0"/>
        <c:axPos val="b"/>
        <c:numFmt formatCode="General" sourceLinked="1"/>
        <c:majorTickMark val="none"/>
        <c:minorTickMark val="none"/>
        <c:tickLblPos val="nextTo"/>
        <c:crossAx val="136938240"/>
        <c:crosses val="autoZero"/>
        <c:auto val="1"/>
        <c:lblAlgn val="ctr"/>
        <c:lblOffset val="100"/>
        <c:noMultiLvlLbl val="0"/>
      </c:catAx>
      <c:valAx>
        <c:axId val="136938240"/>
        <c:scaling>
          <c:orientation val="minMax"/>
        </c:scaling>
        <c:delete val="0"/>
        <c:axPos val="l"/>
        <c:title>
          <c:tx>
            <c:rich>
              <a:bodyPr rot="-5400000" vert="horz"/>
              <a:lstStyle/>
              <a:p>
                <a:pPr>
                  <a:defRPr/>
                </a:pPr>
                <a:r>
                  <a:rPr lang="en-US"/>
                  <a:t>Millones de Quetzales</a:t>
                </a:r>
              </a:p>
            </c:rich>
          </c:tx>
          <c:layout>
            <c:manualLayout>
              <c:xMode val="edge"/>
              <c:yMode val="edge"/>
              <c:x val="0.16647828558429575"/>
              <c:y val="0.22751850527924994"/>
            </c:manualLayout>
          </c:layout>
          <c:overlay val="0"/>
        </c:title>
        <c:numFmt formatCode="#,##0" sourceLinked="0"/>
        <c:majorTickMark val="none"/>
        <c:minorTickMark val="none"/>
        <c:tickLblPos val="nextTo"/>
        <c:crossAx val="136924160"/>
        <c:crosses val="autoZero"/>
        <c:crossBetween val="between"/>
      </c:valAx>
      <c:dTable>
        <c:showHorzBorder val="1"/>
        <c:showVertBorder val="1"/>
        <c:showOutline val="1"/>
        <c:showKeys val="1"/>
        <c:txPr>
          <a:bodyPr/>
          <a:lstStyle/>
          <a:p>
            <a:pPr rtl="0">
              <a:defRPr sz="800"/>
            </a:pPr>
            <a:endParaRPr lang="es-GT"/>
          </a:p>
        </c:txPr>
      </c:dTable>
    </c:plotArea>
    <c:plotVisOnly val="1"/>
    <c:dispBlanksAs val="gap"/>
    <c:showDLblsOverMax val="0"/>
  </c:chart>
  <c:spPr>
    <a:solidFill>
      <a:schemeClr val="bg1"/>
    </a:solidFill>
    <a:ln w="22225">
      <a:noFill/>
    </a:ln>
  </c:spPr>
  <c:txPr>
    <a:bodyPr/>
    <a:lstStyle/>
    <a:p>
      <a:pPr>
        <a:defRPr sz="1000" b="1">
          <a:latin typeface="Calibri" pitchFamily="34" charset="0"/>
          <a:cs typeface="Calibri" pitchFamily="34" charset="0"/>
        </a:defRPr>
      </a:pPr>
      <a:endParaRPr lang="es-G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3.6111111111111108E-2"/>
          <c:y val="0"/>
          <c:w val="0.96388883076325849"/>
          <c:h val="1"/>
        </c:manualLayout>
      </c:layout>
      <c:pie3DChart>
        <c:varyColors val="1"/>
        <c:ser>
          <c:idx val="0"/>
          <c:order val="0"/>
          <c:explosion val="25"/>
          <c:dPt>
            <c:idx val="0"/>
            <c:bubble3D val="0"/>
            <c:explosion val="11"/>
            <c:extLst>
              <c:ext xmlns:c16="http://schemas.microsoft.com/office/drawing/2014/chart" uri="{C3380CC4-5D6E-409C-BE32-E72D297353CC}">
                <c16:uniqueId val="{00000000-973E-4B8F-8105-0AC37493F079}"/>
              </c:ext>
            </c:extLst>
          </c:dPt>
          <c:dLbls>
            <c:dLbl>
              <c:idx val="0"/>
              <c:layout>
                <c:manualLayout>
                  <c:x val="-0.23500555053569125"/>
                  <c:y val="-3.16164661505880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73E-4B8F-8105-0AC37493F079}"/>
                </c:ext>
              </c:extLst>
            </c:dLbl>
            <c:dLbl>
              <c:idx val="1"/>
              <c:layout>
                <c:manualLayout>
                  <c:x val="0.183639430317112"/>
                  <c:y val="-0.1267386798601379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3E-4B8F-8105-0AC37493F079}"/>
                </c:ext>
              </c:extLst>
            </c:dLbl>
            <c:spPr>
              <a:noFill/>
              <a:ln>
                <a:noFill/>
              </a:ln>
              <a:effectLst/>
            </c:spPr>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1"/>
            <c:extLst>
              <c:ext xmlns:c15="http://schemas.microsoft.com/office/drawing/2012/chart" uri="{CE6537A1-D6FC-4f65-9D91-7224C49458BB}"/>
            </c:extLst>
          </c:dLbls>
          <c:cat>
            <c:strRef>
              <c:f>Entidad!$L$31:$L$33</c:f>
              <c:strCache>
                <c:ptCount val="3"/>
                <c:pt idx="0">
                  <c:v>Obligaciones del Estado y Deuda Pública</c:v>
                </c:pt>
                <c:pt idx="1">
                  <c:v>Educación, Salud, Seguridad e Infraestructura</c:v>
                </c:pt>
                <c:pt idx="2">
                  <c:v>Resto de la Administración Central</c:v>
                </c:pt>
              </c:strCache>
            </c:strRef>
          </c:cat>
          <c:val>
            <c:numRef>
              <c:f>Entidad!$M$31:$M$33</c:f>
              <c:numCache>
                <c:formatCode>General</c:formatCode>
                <c:ptCount val="3"/>
                <c:pt idx="0">
                  <c:v>49.5</c:v>
                </c:pt>
                <c:pt idx="1">
                  <c:v>39.4</c:v>
                </c:pt>
                <c:pt idx="2" formatCode="0.0">
                  <c:v>11.1</c:v>
                </c:pt>
              </c:numCache>
            </c:numRef>
          </c:val>
          <c:extLst>
            <c:ext xmlns:c16="http://schemas.microsoft.com/office/drawing/2014/chart" uri="{C3380CC4-5D6E-409C-BE32-E72D297353CC}">
              <c16:uniqueId val="{00000002-973E-4B8F-8105-0AC37493F079}"/>
            </c:ext>
          </c:extLst>
        </c:ser>
        <c:dLbls>
          <c:showLegendKey val="0"/>
          <c:showVal val="0"/>
          <c:showCatName val="0"/>
          <c:showSerName val="0"/>
          <c:showPercent val="0"/>
          <c:showBubbleSize val="0"/>
          <c:showLeaderLines val="1"/>
        </c:dLbls>
      </c:pie3DChart>
      <c:spPr>
        <a:ln>
          <a:noFill/>
        </a:ln>
      </c:spPr>
    </c:plotArea>
    <c:plotVisOnly val="1"/>
    <c:dispBlanksAs val="gap"/>
    <c:showDLblsOverMax val="0"/>
  </c:chart>
  <c:spPr>
    <a:ln>
      <a:no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0"/>
          <c:y val="7.4236956002667664E-2"/>
          <c:w val="0.54808620313878198"/>
          <c:h val="0.83690495467432202"/>
        </c:manualLayout>
      </c:layout>
      <c:pie3DChart>
        <c:varyColors val="1"/>
        <c:ser>
          <c:idx val="0"/>
          <c:order val="0"/>
          <c:explosion val="9"/>
          <c:dLbls>
            <c:dLbl>
              <c:idx val="0"/>
              <c:layout>
                <c:manualLayout>
                  <c:x val="-0.20368766404199476"/>
                  <c:y val="-7.77544156850666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E9-4177-84C1-16F9935A0021}"/>
                </c:ext>
              </c:extLst>
            </c:dLbl>
            <c:dLbl>
              <c:idx val="1"/>
              <c:layout>
                <c:manualLayout>
                  <c:x val="9.6201334208223965E-2"/>
                  <c:y val="-9.8346448664831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E9-4177-84C1-16F9935A0021}"/>
                </c:ext>
              </c:extLst>
            </c:dLbl>
            <c:dLbl>
              <c:idx val="2"/>
              <c:layout>
                <c:manualLayout>
                  <c:x val="6.5821522309711292E-2"/>
                  <c:y val="9.15745313737694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E9-4177-84C1-16F9935A0021}"/>
                </c:ext>
              </c:extLst>
            </c:dLbl>
            <c:spPr>
              <a:noFill/>
              <a:ln>
                <a:noFill/>
              </a:ln>
              <a:effectLst/>
            </c:spPr>
            <c:txPr>
              <a:bodyPr/>
              <a:lstStyle/>
              <a:p>
                <a:pPr>
                  <a:defRPr sz="800" b="1">
                    <a:latin typeface="Times New Roman" pitchFamily="18" charset="0"/>
                    <a:cs typeface="Times New Roman" pitchFamily="18" charset="0"/>
                  </a:defRPr>
                </a:pPr>
                <a:endParaRPr lang="es-GT"/>
              </a:p>
            </c:txPr>
            <c:showLegendKey val="0"/>
            <c:showVal val="1"/>
            <c:showCatName val="0"/>
            <c:showSerName val="0"/>
            <c:showPercent val="0"/>
            <c:showBubbleSize val="0"/>
            <c:showLeaderLines val="1"/>
            <c:extLst>
              <c:ext xmlns:c15="http://schemas.microsoft.com/office/drawing/2012/chart" uri="{CE6537A1-D6FC-4f65-9D91-7224C49458BB}"/>
            </c:extLst>
          </c:dLbls>
          <c:cat>
            <c:strRef>
              <c:f>Entidad!$L$35:$L$37</c:f>
              <c:strCache>
                <c:ptCount val="3"/>
                <c:pt idx="0">
                  <c:v>Obligaciones del Estado y Deuda Pública</c:v>
                </c:pt>
                <c:pt idx="1">
                  <c:v>Educación, Salud, Seguridad e Infraestructura</c:v>
                </c:pt>
                <c:pt idx="2">
                  <c:v>Resto de la Administración Central</c:v>
                </c:pt>
              </c:strCache>
            </c:strRef>
          </c:cat>
          <c:val>
            <c:numRef>
              <c:f>Entidad!$M$35:$M$37</c:f>
              <c:numCache>
                <c:formatCode>General</c:formatCode>
                <c:ptCount val="3"/>
                <c:pt idx="0">
                  <c:v>52.9</c:v>
                </c:pt>
                <c:pt idx="1">
                  <c:v>37.1</c:v>
                </c:pt>
                <c:pt idx="2" formatCode="0.0">
                  <c:v>10</c:v>
                </c:pt>
              </c:numCache>
            </c:numRef>
          </c:val>
          <c:extLst>
            <c:ext xmlns:c16="http://schemas.microsoft.com/office/drawing/2014/chart" uri="{C3380CC4-5D6E-409C-BE32-E72D297353CC}">
              <c16:uniqueId val="{00000003-94E9-4177-84C1-16F9935A0021}"/>
            </c:ext>
          </c:extLst>
        </c:ser>
        <c:dLbls>
          <c:showLegendKey val="0"/>
          <c:showVal val="0"/>
          <c:showCatName val="0"/>
          <c:showSerName val="0"/>
          <c:showPercent val="0"/>
          <c:showBubbleSize val="0"/>
          <c:showLeaderLines val="1"/>
        </c:dLbls>
      </c:pie3DChart>
    </c:plotArea>
    <c:legend>
      <c:legendPos val="r"/>
      <c:layout>
        <c:manualLayout>
          <c:xMode val="edge"/>
          <c:yMode val="edge"/>
          <c:x val="0.62072937369081116"/>
          <c:y val="7.2055285031196903E-2"/>
          <c:w val="0.35636803526997357"/>
          <c:h val="0.84899399774400808"/>
        </c:manualLayout>
      </c:layout>
      <c:overlay val="0"/>
      <c:txPr>
        <a:bodyPr/>
        <a:lstStyle/>
        <a:p>
          <a:pPr>
            <a:defRPr sz="700">
              <a:latin typeface="Times New Roman" pitchFamily="18" charset="0"/>
              <a:cs typeface="Times New Roman" pitchFamily="18" charset="0"/>
            </a:defRPr>
          </a:pPr>
          <a:endParaRPr lang="es-GT"/>
        </a:p>
      </c:txPr>
    </c:legend>
    <c:plotVisOnly val="1"/>
    <c:dispBlanksAs val="gap"/>
    <c:showDLblsOverMax val="0"/>
  </c:chart>
  <c:spPr>
    <a:ln>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'Ejec Fte 11'!$C$3</c:f>
              <c:strCache>
                <c:ptCount val="1"/>
                <c:pt idx="0">
                  <c:v>% Ejecución Fuente 11</c:v>
                </c:pt>
              </c:strCache>
            </c:strRef>
          </c:tx>
          <c:invertIfNegative val="0"/>
          <c:dLbls>
            <c:spPr>
              <a:noFill/>
              <a:ln>
                <a:noFill/>
              </a:ln>
              <a:effectLst/>
            </c:spPr>
            <c:txPr>
              <a:bodyPr/>
              <a:lstStyle/>
              <a:p>
                <a:pPr>
                  <a:defRPr sz="700"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 Fte 11'!$B$4:$B$22</c:f>
              <c:strCache>
                <c:ptCount val="19"/>
                <c:pt idx="0">
                  <c:v>Defensa</c:v>
                </c:pt>
                <c:pt idx="1">
                  <c:v>Educación</c:v>
                </c:pt>
                <c:pt idx="2">
                  <c:v>Salud</c:v>
                </c:pt>
                <c:pt idx="3">
                  <c:v>Gobernación</c:v>
                </c:pt>
                <c:pt idx="4">
                  <c:v>Obligaciones</c:v>
                </c:pt>
                <c:pt idx="5">
                  <c:v>PGN</c:v>
                </c:pt>
                <c:pt idx="6">
                  <c:v>Ambiente</c:v>
                </c:pt>
                <c:pt idx="7">
                  <c:v>Presidencia</c:v>
                </c:pt>
                <c:pt idx="8">
                  <c:v>Finanzas</c:v>
                </c:pt>
                <c:pt idx="9">
                  <c:v>Secretarías</c:v>
                </c:pt>
                <c:pt idx="10">
                  <c:v>Min Rex</c:v>
                </c:pt>
                <c:pt idx="11">
                  <c:v>Trabajo</c:v>
                </c:pt>
                <c:pt idx="12">
                  <c:v>Energía y Minas</c:v>
                </c:pt>
                <c:pt idx="13">
                  <c:v>Economía</c:v>
                </c:pt>
                <c:pt idx="14">
                  <c:v>Desarrollo Social</c:v>
                </c:pt>
                <c:pt idx="15">
                  <c:v>Cultura y Dep</c:v>
                </c:pt>
                <c:pt idx="16">
                  <c:v>MAGA</c:v>
                </c:pt>
                <c:pt idx="17">
                  <c:v>Deuda</c:v>
                </c:pt>
                <c:pt idx="18">
                  <c:v>CIV</c:v>
                </c:pt>
              </c:strCache>
            </c:strRef>
          </c:cat>
          <c:val>
            <c:numRef>
              <c:f>'Ejec Fte 11'!$C$4:$C$22</c:f>
              <c:numCache>
                <c:formatCode>0.0</c:formatCode>
                <c:ptCount val="19"/>
                <c:pt idx="0">
                  <c:v>48.09948907978216</c:v>
                </c:pt>
                <c:pt idx="1">
                  <c:v>47.806057243627201</c:v>
                </c:pt>
                <c:pt idx="2">
                  <c:v>46.18567830154732</c:v>
                </c:pt>
                <c:pt idx="3">
                  <c:v>45.516932202220843</c:v>
                </c:pt>
                <c:pt idx="4">
                  <c:v>45.217711589384201</c:v>
                </c:pt>
                <c:pt idx="5">
                  <c:v>44.444444444444443</c:v>
                </c:pt>
                <c:pt idx="6">
                  <c:v>44.349315068493148</c:v>
                </c:pt>
                <c:pt idx="7">
                  <c:v>44.170699516058072</c:v>
                </c:pt>
                <c:pt idx="8">
                  <c:v>43.845593590677346</c:v>
                </c:pt>
                <c:pt idx="9">
                  <c:v>43.101061375173053</c:v>
                </c:pt>
                <c:pt idx="10">
                  <c:v>42.936507936507937</c:v>
                </c:pt>
                <c:pt idx="11">
                  <c:v>42.087155963302756</c:v>
                </c:pt>
                <c:pt idx="12">
                  <c:v>41.71875</c:v>
                </c:pt>
                <c:pt idx="13">
                  <c:v>40.298507462686558</c:v>
                </c:pt>
                <c:pt idx="14">
                  <c:v>40.289464826657692</c:v>
                </c:pt>
                <c:pt idx="15">
                  <c:v>37.457709038182699</c:v>
                </c:pt>
                <c:pt idx="16">
                  <c:v>34.761376248612649</c:v>
                </c:pt>
                <c:pt idx="17">
                  <c:v>32.420382165605098</c:v>
                </c:pt>
                <c:pt idx="18">
                  <c:v>20.51032110091743</c:v>
                </c:pt>
              </c:numCache>
            </c:numRef>
          </c:val>
          <c:extLst>
            <c:ext xmlns:c16="http://schemas.microsoft.com/office/drawing/2014/chart" uri="{C3380CC4-5D6E-409C-BE32-E72D297353CC}">
              <c16:uniqueId val="{00000000-98C5-4D9A-8BAD-5056D9987D1A}"/>
            </c:ext>
          </c:extLst>
        </c:ser>
        <c:dLbls>
          <c:showLegendKey val="0"/>
          <c:showVal val="0"/>
          <c:showCatName val="0"/>
          <c:showSerName val="0"/>
          <c:showPercent val="0"/>
          <c:showBubbleSize val="0"/>
        </c:dLbls>
        <c:gapWidth val="150"/>
        <c:axId val="145052800"/>
        <c:axId val="145054336"/>
      </c:barChart>
      <c:lineChart>
        <c:grouping val="standard"/>
        <c:varyColors val="0"/>
        <c:ser>
          <c:idx val="1"/>
          <c:order val="1"/>
          <c:tx>
            <c:strRef>
              <c:f>'Ejec Fte 11'!$D$3</c:f>
              <c:strCache>
                <c:ptCount val="1"/>
                <c:pt idx="0">
                  <c:v>Promedio</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98C5-4D9A-8BAD-5056D9987D1A}"/>
                </c:ext>
              </c:extLst>
            </c:dLbl>
            <c:dLbl>
              <c:idx val="1"/>
              <c:delete val="1"/>
              <c:extLst>
                <c:ext xmlns:c15="http://schemas.microsoft.com/office/drawing/2012/chart" uri="{CE6537A1-D6FC-4f65-9D91-7224C49458BB}"/>
                <c:ext xmlns:c16="http://schemas.microsoft.com/office/drawing/2014/chart" uri="{C3380CC4-5D6E-409C-BE32-E72D297353CC}">
                  <c16:uniqueId val="{00000002-98C5-4D9A-8BAD-5056D9987D1A}"/>
                </c:ext>
              </c:extLst>
            </c:dLbl>
            <c:dLbl>
              <c:idx val="2"/>
              <c:delete val="1"/>
              <c:extLst>
                <c:ext xmlns:c15="http://schemas.microsoft.com/office/drawing/2012/chart" uri="{CE6537A1-D6FC-4f65-9D91-7224C49458BB}"/>
                <c:ext xmlns:c16="http://schemas.microsoft.com/office/drawing/2014/chart" uri="{C3380CC4-5D6E-409C-BE32-E72D297353CC}">
                  <c16:uniqueId val="{00000003-98C5-4D9A-8BAD-5056D9987D1A}"/>
                </c:ext>
              </c:extLst>
            </c:dLbl>
            <c:dLbl>
              <c:idx val="3"/>
              <c:delete val="1"/>
              <c:extLst>
                <c:ext xmlns:c15="http://schemas.microsoft.com/office/drawing/2012/chart" uri="{CE6537A1-D6FC-4f65-9D91-7224C49458BB}"/>
                <c:ext xmlns:c16="http://schemas.microsoft.com/office/drawing/2014/chart" uri="{C3380CC4-5D6E-409C-BE32-E72D297353CC}">
                  <c16:uniqueId val="{00000004-98C5-4D9A-8BAD-5056D9987D1A}"/>
                </c:ext>
              </c:extLst>
            </c:dLbl>
            <c:dLbl>
              <c:idx val="4"/>
              <c:delete val="1"/>
              <c:extLst>
                <c:ext xmlns:c15="http://schemas.microsoft.com/office/drawing/2012/chart" uri="{CE6537A1-D6FC-4f65-9D91-7224C49458BB}"/>
                <c:ext xmlns:c16="http://schemas.microsoft.com/office/drawing/2014/chart" uri="{C3380CC4-5D6E-409C-BE32-E72D297353CC}">
                  <c16:uniqueId val="{00000005-98C5-4D9A-8BAD-5056D9987D1A}"/>
                </c:ext>
              </c:extLst>
            </c:dLbl>
            <c:dLbl>
              <c:idx val="5"/>
              <c:delete val="1"/>
              <c:extLst>
                <c:ext xmlns:c15="http://schemas.microsoft.com/office/drawing/2012/chart" uri="{CE6537A1-D6FC-4f65-9D91-7224C49458BB}"/>
                <c:ext xmlns:c16="http://schemas.microsoft.com/office/drawing/2014/chart" uri="{C3380CC4-5D6E-409C-BE32-E72D297353CC}">
                  <c16:uniqueId val="{00000006-98C5-4D9A-8BAD-5056D9987D1A}"/>
                </c:ext>
              </c:extLst>
            </c:dLbl>
            <c:dLbl>
              <c:idx val="6"/>
              <c:delete val="1"/>
              <c:extLst>
                <c:ext xmlns:c15="http://schemas.microsoft.com/office/drawing/2012/chart" uri="{CE6537A1-D6FC-4f65-9D91-7224C49458BB}"/>
                <c:ext xmlns:c16="http://schemas.microsoft.com/office/drawing/2014/chart" uri="{C3380CC4-5D6E-409C-BE32-E72D297353CC}">
                  <c16:uniqueId val="{00000007-98C5-4D9A-8BAD-5056D9987D1A}"/>
                </c:ext>
              </c:extLst>
            </c:dLbl>
            <c:dLbl>
              <c:idx val="7"/>
              <c:delete val="1"/>
              <c:extLst>
                <c:ext xmlns:c15="http://schemas.microsoft.com/office/drawing/2012/chart" uri="{CE6537A1-D6FC-4f65-9D91-7224C49458BB}"/>
                <c:ext xmlns:c16="http://schemas.microsoft.com/office/drawing/2014/chart" uri="{C3380CC4-5D6E-409C-BE32-E72D297353CC}">
                  <c16:uniqueId val="{00000008-98C5-4D9A-8BAD-5056D9987D1A}"/>
                </c:ext>
              </c:extLst>
            </c:dLbl>
            <c:dLbl>
              <c:idx val="8"/>
              <c:delete val="1"/>
              <c:extLst>
                <c:ext xmlns:c15="http://schemas.microsoft.com/office/drawing/2012/chart" uri="{CE6537A1-D6FC-4f65-9D91-7224C49458BB}"/>
                <c:ext xmlns:c16="http://schemas.microsoft.com/office/drawing/2014/chart" uri="{C3380CC4-5D6E-409C-BE32-E72D297353CC}">
                  <c16:uniqueId val="{00000009-98C5-4D9A-8BAD-5056D9987D1A}"/>
                </c:ext>
              </c:extLst>
            </c:dLbl>
            <c:dLbl>
              <c:idx val="9"/>
              <c:delete val="1"/>
              <c:extLst>
                <c:ext xmlns:c15="http://schemas.microsoft.com/office/drawing/2012/chart" uri="{CE6537A1-D6FC-4f65-9D91-7224C49458BB}"/>
                <c:ext xmlns:c16="http://schemas.microsoft.com/office/drawing/2014/chart" uri="{C3380CC4-5D6E-409C-BE32-E72D297353CC}">
                  <c16:uniqueId val="{0000000A-98C5-4D9A-8BAD-5056D9987D1A}"/>
                </c:ext>
              </c:extLst>
            </c:dLbl>
            <c:dLbl>
              <c:idx val="10"/>
              <c:delete val="1"/>
              <c:extLst>
                <c:ext xmlns:c15="http://schemas.microsoft.com/office/drawing/2012/chart" uri="{CE6537A1-D6FC-4f65-9D91-7224C49458BB}"/>
                <c:ext xmlns:c16="http://schemas.microsoft.com/office/drawing/2014/chart" uri="{C3380CC4-5D6E-409C-BE32-E72D297353CC}">
                  <c16:uniqueId val="{0000000B-98C5-4D9A-8BAD-5056D9987D1A}"/>
                </c:ext>
              </c:extLst>
            </c:dLbl>
            <c:dLbl>
              <c:idx val="11"/>
              <c:delete val="1"/>
              <c:extLst>
                <c:ext xmlns:c15="http://schemas.microsoft.com/office/drawing/2012/chart" uri="{CE6537A1-D6FC-4f65-9D91-7224C49458BB}"/>
                <c:ext xmlns:c16="http://schemas.microsoft.com/office/drawing/2014/chart" uri="{C3380CC4-5D6E-409C-BE32-E72D297353CC}">
                  <c16:uniqueId val="{0000000C-98C5-4D9A-8BAD-5056D9987D1A}"/>
                </c:ext>
              </c:extLst>
            </c:dLbl>
            <c:dLbl>
              <c:idx val="12"/>
              <c:delete val="1"/>
              <c:extLst>
                <c:ext xmlns:c15="http://schemas.microsoft.com/office/drawing/2012/chart" uri="{CE6537A1-D6FC-4f65-9D91-7224C49458BB}"/>
                <c:ext xmlns:c16="http://schemas.microsoft.com/office/drawing/2014/chart" uri="{C3380CC4-5D6E-409C-BE32-E72D297353CC}">
                  <c16:uniqueId val="{0000000D-98C5-4D9A-8BAD-5056D9987D1A}"/>
                </c:ext>
              </c:extLst>
            </c:dLbl>
            <c:dLbl>
              <c:idx val="13"/>
              <c:delete val="1"/>
              <c:extLst>
                <c:ext xmlns:c15="http://schemas.microsoft.com/office/drawing/2012/chart" uri="{CE6537A1-D6FC-4f65-9D91-7224C49458BB}"/>
                <c:ext xmlns:c16="http://schemas.microsoft.com/office/drawing/2014/chart" uri="{C3380CC4-5D6E-409C-BE32-E72D297353CC}">
                  <c16:uniqueId val="{0000000E-98C5-4D9A-8BAD-5056D9987D1A}"/>
                </c:ext>
              </c:extLst>
            </c:dLbl>
            <c:dLbl>
              <c:idx val="14"/>
              <c:delete val="1"/>
              <c:extLst>
                <c:ext xmlns:c15="http://schemas.microsoft.com/office/drawing/2012/chart" uri="{CE6537A1-D6FC-4f65-9D91-7224C49458BB}"/>
                <c:ext xmlns:c16="http://schemas.microsoft.com/office/drawing/2014/chart" uri="{C3380CC4-5D6E-409C-BE32-E72D297353CC}">
                  <c16:uniqueId val="{0000000F-98C5-4D9A-8BAD-5056D9987D1A}"/>
                </c:ext>
              </c:extLst>
            </c:dLbl>
            <c:dLbl>
              <c:idx val="15"/>
              <c:delete val="1"/>
              <c:extLst>
                <c:ext xmlns:c15="http://schemas.microsoft.com/office/drawing/2012/chart" uri="{CE6537A1-D6FC-4f65-9D91-7224C49458BB}"/>
                <c:ext xmlns:c16="http://schemas.microsoft.com/office/drawing/2014/chart" uri="{C3380CC4-5D6E-409C-BE32-E72D297353CC}">
                  <c16:uniqueId val="{00000010-98C5-4D9A-8BAD-5056D9987D1A}"/>
                </c:ext>
              </c:extLst>
            </c:dLbl>
            <c:dLbl>
              <c:idx val="16"/>
              <c:delete val="1"/>
              <c:extLst>
                <c:ext xmlns:c15="http://schemas.microsoft.com/office/drawing/2012/chart" uri="{CE6537A1-D6FC-4f65-9D91-7224C49458BB}"/>
                <c:ext xmlns:c16="http://schemas.microsoft.com/office/drawing/2014/chart" uri="{C3380CC4-5D6E-409C-BE32-E72D297353CC}">
                  <c16:uniqueId val="{00000011-98C5-4D9A-8BAD-5056D9987D1A}"/>
                </c:ext>
              </c:extLst>
            </c:dLbl>
            <c:dLbl>
              <c:idx val="17"/>
              <c:delete val="1"/>
              <c:extLst>
                <c:ext xmlns:c15="http://schemas.microsoft.com/office/drawing/2012/chart" uri="{CE6537A1-D6FC-4f65-9D91-7224C49458BB}"/>
                <c:ext xmlns:c16="http://schemas.microsoft.com/office/drawing/2014/chart" uri="{C3380CC4-5D6E-409C-BE32-E72D297353CC}">
                  <c16:uniqueId val="{00000012-98C5-4D9A-8BAD-5056D9987D1A}"/>
                </c:ext>
              </c:extLst>
            </c:dLbl>
            <c:spPr>
              <a:noFill/>
              <a:ln>
                <a:noFill/>
              </a:ln>
              <a:effectLst/>
            </c:spPr>
            <c:txPr>
              <a:bodyPr/>
              <a:lstStyle/>
              <a:p>
                <a:pPr>
                  <a:defRPr sz="700" b="1"/>
                </a:pPr>
                <a:endParaRPr lang="es-G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'Ejec Fte 11'!$B$4:$B$22</c:f>
              <c:strCache>
                <c:ptCount val="19"/>
                <c:pt idx="0">
                  <c:v>Defensa</c:v>
                </c:pt>
                <c:pt idx="1">
                  <c:v>Educación</c:v>
                </c:pt>
                <c:pt idx="2">
                  <c:v>Salud</c:v>
                </c:pt>
                <c:pt idx="3">
                  <c:v>Gobernación</c:v>
                </c:pt>
                <c:pt idx="4">
                  <c:v>Obligaciones</c:v>
                </c:pt>
                <c:pt idx="5">
                  <c:v>PGN</c:v>
                </c:pt>
                <c:pt idx="6">
                  <c:v>Ambiente</c:v>
                </c:pt>
                <c:pt idx="7">
                  <c:v>Presidencia</c:v>
                </c:pt>
                <c:pt idx="8">
                  <c:v>Finanzas</c:v>
                </c:pt>
                <c:pt idx="9">
                  <c:v>Secretarías</c:v>
                </c:pt>
                <c:pt idx="10">
                  <c:v>Min Rex</c:v>
                </c:pt>
                <c:pt idx="11">
                  <c:v>Trabajo</c:v>
                </c:pt>
                <c:pt idx="12">
                  <c:v>Energía y Minas</c:v>
                </c:pt>
                <c:pt idx="13">
                  <c:v>Economía</c:v>
                </c:pt>
                <c:pt idx="14">
                  <c:v>Desarrollo Social</c:v>
                </c:pt>
                <c:pt idx="15">
                  <c:v>Cultura y Dep</c:v>
                </c:pt>
                <c:pt idx="16">
                  <c:v>MAGA</c:v>
                </c:pt>
                <c:pt idx="17">
                  <c:v>Deuda</c:v>
                </c:pt>
                <c:pt idx="18">
                  <c:v>CIV</c:v>
                </c:pt>
              </c:strCache>
            </c:strRef>
          </c:cat>
          <c:val>
            <c:numRef>
              <c:f>'Ejec Fte 11'!$D$4:$D$22</c:f>
              <c:numCache>
                <c:formatCode>0.0</c:formatCode>
                <c:ptCount val="19"/>
                <c:pt idx="0">
                  <c:v>43.7</c:v>
                </c:pt>
                <c:pt idx="1">
                  <c:v>43.7</c:v>
                </c:pt>
                <c:pt idx="2">
                  <c:v>43.7</c:v>
                </c:pt>
                <c:pt idx="3">
                  <c:v>43.7</c:v>
                </c:pt>
                <c:pt idx="4">
                  <c:v>43.7</c:v>
                </c:pt>
                <c:pt idx="5">
                  <c:v>43.7</c:v>
                </c:pt>
                <c:pt idx="6">
                  <c:v>43.7</c:v>
                </c:pt>
                <c:pt idx="7">
                  <c:v>43.7</c:v>
                </c:pt>
                <c:pt idx="8">
                  <c:v>43.7</c:v>
                </c:pt>
                <c:pt idx="9">
                  <c:v>43.7</c:v>
                </c:pt>
                <c:pt idx="10">
                  <c:v>43.7</c:v>
                </c:pt>
                <c:pt idx="11">
                  <c:v>43.7</c:v>
                </c:pt>
                <c:pt idx="12">
                  <c:v>43.7</c:v>
                </c:pt>
                <c:pt idx="13">
                  <c:v>43.7</c:v>
                </c:pt>
                <c:pt idx="14">
                  <c:v>43.7</c:v>
                </c:pt>
                <c:pt idx="15">
                  <c:v>43.7</c:v>
                </c:pt>
                <c:pt idx="16">
                  <c:v>43.7</c:v>
                </c:pt>
                <c:pt idx="17">
                  <c:v>43.7</c:v>
                </c:pt>
                <c:pt idx="18">
                  <c:v>43.7</c:v>
                </c:pt>
              </c:numCache>
            </c:numRef>
          </c:val>
          <c:smooth val="0"/>
          <c:extLst>
            <c:ext xmlns:c16="http://schemas.microsoft.com/office/drawing/2014/chart" uri="{C3380CC4-5D6E-409C-BE32-E72D297353CC}">
              <c16:uniqueId val="{00000013-98C5-4D9A-8BAD-5056D9987D1A}"/>
            </c:ext>
          </c:extLst>
        </c:ser>
        <c:dLbls>
          <c:showLegendKey val="0"/>
          <c:showVal val="0"/>
          <c:showCatName val="0"/>
          <c:showSerName val="0"/>
          <c:showPercent val="0"/>
          <c:showBubbleSize val="0"/>
        </c:dLbls>
        <c:marker val="1"/>
        <c:smooth val="0"/>
        <c:axId val="145052800"/>
        <c:axId val="145054336"/>
      </c:lineChart>
      <c:catAx>
        <c:axId val="145052800"/>
        <c:scaling>
          <c:orientation val="minMax"/>
        </c:scaling>
        <c:delete val="0"/>
        <c:axPos val="b"/>
        <c:numFmt formatCode="General" sourceLinked="0"/>
        <c:majorTickMark val="out"/>
        <c:minorTickMark val="none"/>
        <c:tickLblPos val="nextTo"/>
        <c:txPr>
          <a:bodyPr rot="-5400000" vert="horz"/>
          <a:lstStyle/>
          <a:p>
            <a:pPr>
              <a:defRPr sz="800"/>
            </a:pPr>
            <a:endParaRPr lang="es-GT"/>
          </a:p>
        </c:txPr>
        <c:crossAx val="145054336"/>
        <c:crosses val="autoZero"/>
        <c:auto val="1"/>
        <c:lblAlgn val="ctr"/>
        <c:lblOffset val="100"/>
        <c:noMultiLvlLbl val="0"/>
      </c:catAx>
      <c:valAx>
        <c:axId val="145054336"/>
        <c:scaling>
          <c:orientation val="minMax"/>
        </c:scaling>
        <c:delete val="0"/>
        <c:axPos val="l"/>
        <c:numFmt formatCode="0.0" sourceLinked="1"/>
        <c:majorTickMark val="out"/>
        <c:minorTickMark val="none"/>
        <c:tickLblPos val="nextTo"/>
        <c:crossAx val="145052800"/>
        <c:crosses val="autoZero"/>
        <c:crossBetween val="between"/>
      </c:valAx>
    </c:plotArea>
    <c:plotVisOnly val="1"/>
    <c:dispBlanksAs val="gap"/>
    <c:showDLblsOverMax val="0"/>
  </c:chart>
  <c:spPr>
    <a:ln>
      <a:noFill/>
    </a:ln>
  </c:spPr>
  <c:txPr>
    <a:bodyPr/>
    <a:lstStyle/>
    <a:p>
      <a:pPr>
        <a:defRPr sz="900">
          <a:latin typeface="Times New Roman" panose="02020603050405020304" pitchFamily="18" charset="0"/>
          <a:cs typeface="Times New Roman" panose="02020603050405020304" pitchFamily="18" charset="0"/>
        </a:defRPr>
      </a:pPr>
      <a:endParaRPr lang="es-GT"/>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0.41457</cdr:x>
      <cdr:y>0</cdr:y>
    </cdr:from>
    <cdr:to>
      <cdr:x>0.62535</cdr:x>
      <cdr:y>0.10783</cdr:y>
    </cdr:to>
    <cdr:sp macro="" textlink="">
      <cdr:nvSpPr>
        <cdr:cNvPr id="2" name="1 CuadroTexto"/>
        <cdr:cNvSpPr txBox="1"/>
      </cdr:nvSpPr>
      <cdr:spPr>
        <a:xfrm xmlns:a="http://schemas.openxmlformats.org/drawingml/2006/main">
          <a:off x="910844" y="-7035421"/>
          <a:ext cx="463123" cy="1972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GT" sz="800" b="1">
              <a:latin typeface="Times New Roman" pitchFamily="18" charset="0"/>
              <a:cs typeface="Times New Roman" pitchFamily="18" charset="0"/>
            </a:rPr>
            <a:t>2015</a:t>
          </a:r>
        </a:p>
      </cdr:txBody>
    </cdr:sp>
  </cdr:relSizeAnchor>
</c:userShapes>
</file>

<file path=word/drawings/drawing2.xml><?xml version="1.0" encoding="utf-8"?>
<c:userShapes xmlns:c="http://schemas.openxmlformats.org/drawingml/2006/chart">
  <cdr:relSizeAnchor xmlns:cdr="http://schemas.openxmlformats.org/drawingml/2006/chartDrawing">
    <cdr:from>
      <cdr:x>0.20253</cdr:x>
      <cdr:y>0</cdr:y>
    </cdr:from>
    <cdr:to>
      <cdr:x>0.37544</cdr:x>
      <cdr:y>0.0868</cdr:y>
    </cdr:to>
    <cdr:sp macro="" textlink="">
      <cdr:nvSpPr>
        <cdr:cNvPr id="2" name="1 CuadroTexto"/>
        <cdr:cNvSpPr txBox="1"/>
      </cdr:nvSpPr>
      <cdr:spPr>
        <a:xfrm xmlns:a="http://schemas.openxmlformats.org/drawingml/2006/main">
          <a:off x="692279" y="-7035421"/>
          <a:ext cx="591042" cy="1581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GT" sz="800" b="1">
              <a:latin typeface="Times New Roman" pitchFamily="18" charset="0"/>
              <a:cs typeface="Times New Roman" pitchFamily="18" charset="0"/>
            </a:rPr>
            <a:t>2016*</a:t>
          </a:r>
        </a:p>
      </cdr:txBody>
    </cdr:sp>
  </cdr:relSizeAnchor>
</c:userShapes>
</file>

<file path=word/drawings/drawing3.xml><?xml version="1.0" encoding="utf-8"?>
<c:userShapes xmlns:c="http://schemas.openxmlformats.org/drawingml/2006/chart">
  <cdr:relSizeAnchor xmlns:cdr="http://schemas.openxmlformats.org/drawingml/2006/chartDrawing">
    <cdr:from>
      <cdr:x>0.44138</cdr:x>
      <cdr:y>0.03201</cdr:y>
    </cdr:from>
    <cdr:to>
      <cdr:x>0.54108</cdr:x>
      <cdr:y>0.08662</cdr:y>
    </cdr:to>
    <cdr:sp macro="" textlink="">
      <cdr:nvSpPr>
        <cdr:cNvPr id="2" name="1 Cuadro de texto"/>
        <cdr:cNvSpPr txBox="1"/>
      </cdr:nvSpPr>
      <cdr:spPr>
        <a:xfrm xmlns:a="http://schemas.openxmlformats.org/drawingml/2006/main">
          <a:off x="2477069" y="116006"/>
          <a:ext cx="559558" cy="1978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900" b="1">
              <a:latin typeface="Times New Roman" pitchFamily="18" charset="0"/>
              <a:cs typeface="Times New Roman" pitchFamily="18" charset="0"/>
            </a:rPr>
            <a:t>2015</a:t>
          </a:r>
        </a:p>
      </cdr:txBody>
    </cdr:sp>
  </cdr:relSizeAnchor>
</c:userShapes>
</file>

<file path=word/drawings/drawing4.xml><?xml version="1.0" encoding="utf-8"?>
<c:userShapes xmlns:c="http://schemas.openxmlformats.org/drawingml/2006/chart">
  <cdr:relSizeAnchor xmlns:cdr="http://schemas.openxmlformats.org/drawingml/2006/chartDrawing">
    <cdr:from>
      <cdr:x>0.46314</cdr:x>
      <cdr:y>0.03181</cdr:y>
    </cdr:from>
    <cdr:to>
      <cdr:x>0.53934</cdr:x>
      <cdr:y>0.09345</cdr:y>
    </cdr:to>
    <cdr:sp macro="" textlink="">
      <cdr:nvSpPr>
        <cdr:cNvPr id="2" name="1 Cuadro de texto"/>
        <cdr:cNvSpPr txBox="1"/>
      </cdr:nvSpPr>
      <cdr:spPr>
        <a:xfrm xmlns:a="http://schemas.openxmlformats.org/drawingml/2006/main">
          <a:off x="2654490" y="109183"/>
          <a:ext cx="436728" cy="2115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GT" sz="900" b="1">
              <a:latin typeface="Times New Roman" pitchFamily="18" charset="0"/>
              <a:cs typeface="Times New Roman" pitchFamily="18" charset="0"/>
            </a:rPr>
            <a:t>2016</a:t>
          </a:r>
        </a:p>
      </cdr:txBody>
    </cdr:sp>
  </cdr:relSizeAnchor>
</c:userShape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pel">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pel">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pel">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pel">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Papel">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1B004-2DD3-4FEF-844F-AE9D8F182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7849</Words>
  <Characters>43173</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50921</CharactersWithSpaces>
  <SharedDoc>false</SharedDoc>
  <HLinks>
    <vt:vector size="36" baseType="variant">
      <vt:variant>
        <vt:i4>5505078</vt:i4>
      </vt:variant>
      <vt:variant>
        <vt:i4>15</vt:i4>
      </vt:variant>
      <vt:variant>
        <vt:i4>0</vt:i4>
      </vt:variant>
      <vt:variant>
        <vt:i4>5</vt:i4>
      </vt:variant>
      <vt:variant>
        <vt:lpwstr>http://portal.sat.gob.gt/sitio/index.php/leyes/doc_details/2683-acuerdodedirectorionumero08-2011face.html</vt:lpwstr>
      </vt:variant>
      <vt:variant>
        <vt:lpwstr/>
      </vt:variant>
      <vt:variant>
        <vt:i4>1114202</vt:i4>
      </vt:variant>
      <vt:variant>
        <vt:i4>12</vt:i4>
      </vt:variant>
      <vt:variant>
        <vt:i4>0</vt:i4>
      </vt:variant>
      <vt:variant>
        <vt:i4>5</vt:i4>
      </vt:variant>
      <vt:variant>
        <vt:lpwstr>http://www.sgp.gob.gt/PaginaWeb/Acuerdos/2011/presidencia/AG-168-2011.pdf</vt:lpwstr>
      </vt:variant>
      <vt:variant>
        <vt:lpwstr/>
      </vt:variant>
      <vt:variant>
        <vt:i4>4653175</vt:i4>
      </vt:variant>
      <vt:variant>
        <vt:i4>9</vt:i4>
      </vt:variant>
      <vt:variant>
        <vt:i4>0</vt:i4>
      </vt:variant>
      <vt:variant>
        <vt:i4>5</vt:i4>
      </vt:variant>
      <vt:variant>
        <vt:lpwstr>http://www.sgp.gob.gt/PaginaWeb/PEsp/AG2011_Esp.htm</vt:lpwstr>
      </vt:variant>
      <vt:variant>
        <vt:lpwstr/>
      </vt:variant>
      <vt:variant>
        <vt:i4>3801144</vt:i4>
      </vt:variant>
      <vt:variant>
        <vt:i4>6</vt:i4>
      </vt:variant>
      <vt:variant>
        <vt:i4>0</vt:i4>
      </vt:variant>
      <vt:variant>
        <vt:i4>5</vt:i4>
      </vt:variant>
      <vt:variant>
        <vt:lpwstr>http://200.12.63.122/archivos/acuerdos/2010/CCLXXXVIII0790300050053201017022010.pdf</vt:lpwstr>
      </vt:variant>
      <vt:variant>
        <vt:lpwstr/>
      </vt:variant>
      <vt:variant>
        <vt:i4>6422584</vt:i4>
      </vt:variant>
      <vt:variant>
        <vt:i4>3</vt:i4>
      </vt:variant>
      <vt:variant>
        <vt:i4>0</vt:i4>
      </vt:variant>
      <vt:variant>
        <vt:i4>5</vt:i4>
      </vt:variant>
      <vt:variant>
        <vt:lpwstr>http://www.oj.gob.gt/es/QueEsOJ/EstructuraOJ/UnidadesAdministrativas/CentroAnalisisDocumentacionJudicial/cds/CDs leyes/2008/pdfs/decretos/D003-2008.pdf</vt:lpwstr>
      </vt:variant>
      <vt:variant>
        <vt:lpwstr/>
      </vt:variant>
      <vt:variant>
        <vt:i4>7667743</vt:i4>
      </vt:variant>
      <vt:variant>
        <vt:i4>0</vt:i4>
      </vt:variant>
      <vt:variant>
        <vt:i4>0</vt:i4>
      </vt:variant>
      <vt:variant>
        <vt:i4>5</vt:i4>
      </vt:variant>
      <vt:variant>
        <vt:lpwstr>http://www.minfin.gob.gt/2011-07-05-18-17-00/proyectospresupuesto/files.html?folder=2012\multianual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 Enrique De León Meneses</dc:creator>
  <cp:lastModifiedBy>René Augusto Castro González</cp:lastModifiedBy>
  <cp:revision>2</cp:revision>
  <cp:lastPrinted>2016-08-31T22:59:00Z</cp:lastPrinted>
  <dcterms:created xsi:type="dcterms:W3CDTF">2016-09-01T00:13:00Z</dcterms:created>
  <dcterms:modified xsi:type="dcterms:W3CDTF">2016-09-01T00:13:00Z</dcterms:modified>
</cp:coreProperties>
</file>